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374" w:rsidRDefault="002C5374" w:rsidP="00BD63A1">
      <w:pPr>
        <w:spacing w:before="0" w:after="120" w:line="360" w:lineRule="auto"/>
        <w:rPr>
          <w:rFonts w:cs="Times New Roman"/>
        </w:rPr>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9" type="#_x0000_t75" style="position:absolute;left:0;text-align:left;margin-left:0;margin-top:13.6pt;width:204.95pt;height:51pt;z-index:251655680;visibility:visible;mso-position-horizontal:center">
            <v:imagedata r:id="rId7" o:title=""/>
          </v:shape>
        </w:pict>
      </w:r>
    </w:p>
    <w:p w:rsidR="002C5374" w:rsidRDefault="002C5374" w:rsidP="00BD63A1">
      <w:pPr>
        <w:spacing w:before="0" w:after="120" w:line="360" w:lineRule="auto"/>
        <w:rPr>
          <w:rFonts w:cs="Times New Roman"/>
        </w:rPr>
      </w:pPr>
    </w:p>
    <w:p w:rsidR="002C5374" w:rsidRDefault="002C5374" w:rsidP="00BD63A1">
      <w:pPr>
        <w:spacing w:before="0" w:after="120" w:line="360" w:lineRule="auto"/>
        <w:rPr>
          <w:rFonts w:cs="Times New Roman"/>
          <w:noProof/>
        </w:rPr>
      </w:pPr>
    </w:p>
    <w:p w:rsidR="002C5374" w:rsidRDefault="002C5374" w:rsidP="00BD63A1">
      <w:pPr>
        <w:spacing w:before="0" w:after="120" w:line="360" w:lineRule="auto"/>
        <w:rPr>
          <w:rFonts w:cs="Times New Roman"/>
        </w:rPr>
      </w:pPr>
    </w:p>
    <w:p w:rsidR="002C5374" w:rsidRDefault="002C5374" w:rsidP="00BD63A1">
      <w:pPr>
        <w:spacing w:before="0" w:after="120" w:line="360" w:lineRule="auto"/>
        <w:rPr>
          <w:rFonts w:cs="Times New Roman"/>
        </w:rPr>
      </w:pPr>
      <w:r>
        <w:rPr>
          <w:noProof/>
          <w:lang w:val="es-ES" w:eastAsia="es-ES"/>
        </w:rPr>
        <w:pict>
          <v:rect id="Rectangle 71" o:spid="_x0000_s1030" style="position:absolute;left:0;text-align:left;margin-left:73.5pt;margin-top:201pt;width:465.2pt;height:98.25pt;z-index:251656704;visibility:visible;mso-position-horizontal-relative:page;mso-position-vertical-relative:page;v-text-anchor:middle" o:allowincell="f" filled="f" stroked="f" strokeweight="1pt">
            <v:textbox inset="14.4pt,3.3mm,14.4pt">
              <w:txbxContent>
                <w:p w:rsidR="002C5374" w:rsidRPr="00BB75AD" w:rsidRDefault="002C5374" w:rsidP="00B0088E">
                  <w:pPr>
                    <w:pStyle w:val="NoSpacing"/>
                    <w:spacing w:line="440" w:lineRule="exact"/>
                    <w:ind w:right="-249"/>
                    <w:jc w:val="center"/>
                    <w:rPr>
                      <w:rFonts w:ascii="Cambria" w:hAnsi="Cambria" w:cs="Cambria"/>
                      <w:b/>
                      <w:bCs/>
                      <w:sz w:val="32"/>
                      <w:szCs w:val="32"/>
                      <w:lang w:val="es-ES"/>
                    </w:rPr>
                  </w:pPr>
                  <w:bookmarkStart w:id="0" w:name="_GoBack"/>
                  <w:bookmarkEnd w:id="0"/>
                  <w:r w:rsidRPr="00BB75AD">
                    <w:rPr>
                      <w:rFonts w:ascii="Arial" w:hAnsi="Arial" w:cs="Arial"/>
                      <w:b/>
                      <w:bCs/>
                      <w:sz w:val="32"/>
                      <w:szCs w:val="32"/>
                      <w:lang w:val="es-ES"/>
                    </w:rPr>
                    <w:t>COMISIÓN PARA EL ESTUDIO Y ESCLARECIMIENTO DEL INCIDENTE EN EL SERVICIO DE ABASTECIMIENTO DE AGUA AL BARRIO DE LORETO</w:t>
                  </w:r>
                </w:p>
                <w:p w:rsidR="002C5374" w:rsidRPr="00BB75AD" w:rsidRDefault="002C5374" w:rsidP="0055034C">
                  <w:pPr>
                    <w:pStyle w:val="NoSpacing"/>
                    <w:spacing w:line="440" w:lineRule="exact"/>
                    <w:ind w:right="-249"/>
                    <w:jc w:val="center"/>
                    <w:rPr>
                      <w:rFonts w:ascii="Cambria" w:hAnsi="Cambria" w:cs="Cambria"/>
                      <w:b/>
                      <w:bCs/>
                      <w:sz w:val="32"/>
                      <w:szCs w:val="32"/>
                      <w:lang w:val="es-ES"/>
                    </w:rPr>
                  </w:pPr>
                </w:p>
              </w:txbxContent>
            </v:textbox>
            <w10:wrap anchorx="page" anchory="page"/>
          </v:rect>
        </w:pict>
      </w:r>
    </w:p>
    <w:p w:rsidR="002C5374" w:rsidRPr="003C61CF" w:rsidRDefault="002C5374" w:rsidP="00BD63A1">
      <w:pPr>
        <w:spacing w:before="0" w:after="120" w:line="360" w:lineRule="auto"/>
        <w:rPr>
          <w:rFonts w:cs="Times New Roman"/>
          <w:lang w:val="es-ES"/>
        </w:rPr>
        <w:sectPr w:rsidR="002C5374" w:rsidRPr="003C61CF" w:rsidSect="006C6438">
          <w:headerReference w:type="default" r:id="rId8"/>
          <w:footerReference w:type="default" r:id="rId9"/>
          <w:pgSz w:w="11906" w:h="16838" w:code="9"/>
          <w:pgMar w:top="1916" w:right="1418" w:bottom="1418" w:left="1418" w:header="709" w:footer="824" w:gutter="0"/>
          <w:cols w:space="708"/>
          <w:titlePg/>
          <w:docGrid w:linePitch="360"/>
        </w:sectPr>
      </w:pPr>
      <w:r>
        <w:rPr>
          <w:noProof/>
          <w:lang w:val="es-ES" w:eastAsia="es-ES"/>
        </w:rPr>
        <w:pict>
          <v:shapetype id="_x0000_t202" coordsize="21600,21600" o:spt="202" path="m,l,21600r21600,l21600,xe">
            <v:stroke joinstyle="miter"/>
            <v:path gradientshapeok="t" o:connecttype="rect"/>
          </v:shapetype>
          <v:shape id="Cuadro de texto 31" o:spid="_x0000_s1031" type="#_x0000_t202" style="position:absolute;left:0;text-align:left;margin-left:-19.9pt;margin-top:134.85pt;width:512.45pt;height:76.45pt;z-index:251659776;visibility:visible" stroked="f">
            <v:fill opacity="46003f"/>
            <v:textbox>
              <w:txbxContent>
                <w:p w:rsidR="002C5374" w:rsidRPr="00BB75AD" w:rsidRDefault="002C5374" w:rsidP="00F06D30">
                  <w:pPr>
                    <w:spacing w:before="120" w:after="120"/>
                    <w:jc w:val="center"/>
                    <w:rPr>
                      <w:b/>
                      <w:bCs/>
                      <w:color w:val="000000"/>
                      <w:sz w:val="48"/>
                      <w:szCs w:val="48"/>
                      <w:lang w:val="es-ES"/>
                    </w:rPr>
                  </w:pPr>
                  <w:r w:rsidRPr="00BB75AD">
                    <w:rPr>
                      <w:b/>
                      <w:bCs/>
                      <w:color w:val="000000"/>
                      <w:sz w:val="48"/>
                      <w:szCs w:val="48"/>
                      <w:lang w:val="es-ES"/>
                    </w:rPr>
                    <w:t>INFORME DE RESULTADOS</w:t>
                  </w:r>
                </w:p>
                <w:p w:rsidR="002C5374" w:rsidRPr="00BB75AD" w:rsidRDefault="002C5374" w:rsidP="00F06D30">
                  <w:pPr>
                    <w:spacing w:before="120" w:after="120"/>
                    <w:jc w:val="center"/>
                    <w:rPr>
                      <w:b/>
                      <w:bCs/>
                      <w:color w:val="000000"/>
                      <w:sz w:val="48"/>
                      <w:szCs w:val="48"/>
                      <w:lang w:val="es-ES"/>
                    </w:rPr>
                  </w:pPr>
                  <w:r w:rsidRPr="00BB75AD">
                    <w:rPr>
                      <w:b/>
                      <w:bCs/>
                      <w:color w:val="000000"/>
                      <w:sz w:val="48"/>
                      <w:szCs w:val="48"/>
                      <w:lang w:val="es-ES"/>
                    </w:rPr>
                    <w:t>RESUMEN EJECUTIVO</w:t>
                  </w:r>
                </w:p>
              </w:txbxContent>
            </v:textbox>
          </v:shape>
        </w:pict>
      </w:r>
      <w:r>
        <w:rPr>
          <w:noProof/>
          <w:lang w:val="es-ES" w:eastAsia="es-ES"/>
        </w:rPr>
        <w:pict>
          <v:shape id="Imagen 5" o:spid="_x0000_s1032" type="#_x0000_t75" style="position:absolute;left:0;text-align:left;margin-left:-20.55pt;margin-top:110.55pt;width:513.1pt;height:280.3pt;z-index:251657728;visibility:visible;mso-wrap-distance-bottom:.22475mm">
            <v:imagedata r:id="rId10" o:title=""/>
            <o:lock v:ext="edit" aspectratio="f"/>
          </v:shape>
        </w:pict>
      </w:r>
      <w:r>
        <w:rPr>
          <w:noProof/>
          <w:lang w:val="es-ES" w:eastAsia="es-ES"/>
        </w:rPr>
        <w:pict>
          <v:shape id="Text Box 77" o:spid="_x0000_s1033" type="#_x0000_t202" style="position:absolute;left:0;text-align:left;margin-left:344.15pt;margin-top:510.85pt;width:123.95pt;height:37.4pt;z-index:251658752;visibility:visible;v-text-anchor:middle" filled="f" stroked="f" strokecolor="#a89971">
            <v:fill opacity="24158f"/>
            <v:textbox>
              <w:txbxContent>
                <w:p w:rsidR="002C5374" w:rsidRPr="00BB75AD" w:rsidRDefault="002C5374" w:rsidP="00C5372D">
                  <w:pPr>
                    <w:spacing w:before="0" w:after="0" w:line="240" w:lineRule="auto"/>
                    <w:jc w:val="center"/>
                    <w:rPr>
                      <w:color w:val="000000"/>
                      <w:sz w:val="32"/>
                      <w:szCs w:val="32"/>
                      <w:lang w:val="es-ES"/>
                    </w:rPr>
                  </w:pPr>
                  <w:r w:rsidRPr="00BB75AD">
                    <w:rPr>
                      <w:color w:val="000000"/>
                      <w:sz w:val="32"/>
                      <w:szCs w:val="32"/>
                      <w:lang w:val="es-ES"/>
                    </w:rPr>
                    <w:t>Febrero 2016</w:t>
                  </w:r>
                </w:p>
              </w:txbxContent>
            </v:textbox>
          </v:shape>
        </w:pict>
      </w:r>
    </w:p>
    <w:p w:rsidR="002C5374" w:rsidRPr="00576FDD" w:rsidRDefault="002C5374" w:rsidP="00B0088E">
      <w:pPr>
        <w:jc w:val="center"/>
        <w:outlineLvl w:val="0"/>
        <w:rPr>
          <w:b/>
          <w:bCs/>
          <w:color w:val="000000"/>
          <w:sz w:val="24"/>
          <w:szCs w:val="24"/>
          <w:lang w:val="es-ES"/>
        </w:rPr>
      </w:pPr>
      <w:bookmarkStart w:id="1" w:name="_Toc444607424"/>
      <w:r w:rsidRPr="00576FDD">
        <w:rPr>
          <w:b/>
          <w:bCs/>
          <w:color w:val="000000"/>
          <w:sz w:val="24"/>
          <w:szCs w:val="24"/>
          <w:lang w:val="es-ES"/>
        </w:rPr>
        <w:t>FICHA DE CONTROL DEL DOCUMENTO</w:t>
      </w:r>
      <w:bookmarkEnd w:id="1"/>
    </w:p>
    <w:tbl>
      <w:tblPr>
        <w:tblpPr w:leftFromText="141" w:rightFromText="141" w:vertAnchor="text" w:horzAnchor="margin" w:tblpY="1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45"/>
        <w:gridCol w:w="2399"/>
        <w:gridCol w:w="2552"/>
        <w:gridCol w:w="1784"/>
      </w:tblGrid>
      <w:tr w:rsidR="002C5374" w:rsidRPr="00BB75AD">
        <w:trPr>
          <w:trHeight w:val="556"/>
        </w:trPr>
        <w:tc>
          <w:tcPr>
            <w:tcW w:w="8980" w:type="dxa"/>
            <w:gridSpan w:val="4"/>
            <w:shd w:val="clear" w:color="auto" w:fill="B9AD8C"/>
          </w:tcPr>
          <w:p w:rsidR="002C5374" w:rsidRPr="00BB75AD" w:rsidRDefault="002C5374" w:rsidP="00BB75AD">
            <w:pPr>
              <w:spacing w:before="120" w:after="0" w:line="312" w:lineRule="auto"/>
              <w:jc w:val="center"/>
              <w:rPr>
                <w:rFonts w:cs="Times New Roman"/>
                <w:b/>
                <w:bCs/>
                <w:color w:val="E3DED1"/>
                <w:sz w:val="24"/>
                <w:szCs w:val="24"/>
                <w:lang w:val="es-ES"/>
              </w:rPr>
            </w:pPr>
            <w:r w:rsidRPr="00BB75AD">
              <w:rPr>
                <w:b/>
                <w:bCs/>
                <w:color w:val="000000"/>
                <w:sz w:val="24"/>
                <w:szCs w:val="24"/>
                <w:lang w:val="es-ES"/>
              </w:rPr>
              <w:t>INFORMACIÓN DEL DOCUMENTO</w:t>
            </w:r>
          </w:p>
        </w:tc>
      </w:tr>
      <w:tr w:rsidR="002C5374" w:rsidRPr="00BB75AD">
        <w:tc>
          <w:tcPr>
            <w:tcW w:w="2245" w:type="dxa"/>
            <w:shd w:val="clear" w:color="auto" w:fill="D2CAB6"/>
          </w:tcPr>
          <w:p w:rsidR="002C5374" w:rsidRPr="00BB75AD" w:rsidRDefault="002C5374" w:rsidP="00BB75AD">
            <w:pPr>
              <w:spacing w:before="120" w:after="0" w:line="312" w:lineRule="auto"/>
              <w:jc w:val="center"/>
              <w:rPr>
                <w:b/>
                <w:bCs/>
                <w:color w:val="000000"/>
                <w:lang w:val="es-ES"/>
              </w:rPr>
            </w:pPr>
            <w:r w:rsidRPr="00BB75AD">
              <w:rPr>
                <w:b/>
                <w:bCs/>
                <w:color w:val="000000"/>
                <w:lang w:val="es-ES"/>
              </w:rPr>
              <w:t>Título:</w:t>
            </w:r>
          </w:p>
        </w:tc>
        <w:tc>
          <w:tcPr>
            <w:tcW w:w="6735" w:type="dxa"/>
            <w:gridSpan w:val="3"/>
            <w:shd w:val="clear" w:color="auto" w:fill="E3DED1"/>
          </w:tcPr>
          <w:p w:rsidR="002C5374" w:rsidRPr="00BB75AD" w:rsidRDefault="002C5374" w:rsidP="00BB75AD">
            <w:pPr>
              <w:spacing w:before="120" w:after="0" w:line="312" w:lineRule="auto"/>
              <w:jc w:val="center"/>
              <w:rPr>
                <w:color w:val="000000"/>
                <w:lang w:val="es-ES"/>
              </w:rPr>
            </w:pPr>
            <w:r w:rsidRPr="00BB75AD">
              <w:rPr>
                <w:color w:val="000000"/>
                <w:lang w:val="es-ES"/>
              </w:rPr>
              <w:t>INFORME DE RESULTADOS. RESUMEN EJECUTIVO</w:t>
            </w:r>
          </w:p>
        </w:tc>
      </w:tr>
      <w:tr w:rsidR="002C5374" w:rsidRPr="00BB75AD">
        <w:tc>
          <w:tcPr>
            <w:tcW w:w="2245" w:type="dxa"/>
            <w:shd w:val="clear" w:color="auto" w:fill="D2CAB6"/>
          </w:tcPr>
          <w:p w:rsidR="002C5374" w:rsidRPr="00BB75AD" w:rsidRDefault="002C5374" w:rsidP="00BB75AD">
            <w:pPr>
              <w:spacing w:before="120" w:after="0" w:line="312" w:lineRule="auto"/>
              <w:jc w:val="center"/>
              <w:rPr>
                <w:b/>
                <w:bCs/>
                <w:color w:val="000000"/>
                <w:lang w:val="es-ES"/>
              </w:rPr>
            </w:pPr>
            <w:r w:rsidRPr="00BB75AD">
              <w:rPr>
                <w:b/>
                <w:bCs/>
                <w:color w:val="000000"/>
                <w:lang w:val="es-ES"/>
              </w:rPr>
              <w:t>Nombre del fichero:</w:t>
            </w:r>
          </w:p>
        </w:tc>
        <w:tc>
          <w:tcPr>
            <w:tcW w:w="6735" w:type="dxa"/>
            <w:gridSpan w:val="3"/>
            <w:shd w:val="clear" w:color="auto" w:fill="E3DED1"/>
          </w:tcPr>
          <w:p w:rsidR="002C5374" w:rsidRPr="00BB75AD" w:rsidRDefault="002C5374" w:rsidP="00BB75AD">
            <w:pPr>
              <w:spacing w:before="120" w:after="0" w:line="312" w:lineRule="auto"/>
              <w:jc w:val="center"/>
              <w:rPr>
                <w:color w:val="000000"/>
                <w:lang w:val="es-ES"/>
              </w:rPr>
            </w:pPr>
            <w:r w:rsidRPr="00BB75AD">
              <w:rPr>
                <w:color w:val="000000"/>
                <w:lang w:val="es-ES"/>
              </w:rPr>
              <w:t>Resumen Ejecutivo v1.0.docx</w:t>
            </w:r>
          </w:p>
        </w:tc>
      </w:tr>
      <w:tr w:rsidR="002C5374" w:rsidRPr="00BB75AD">
        <w:tc>
          <w:tcPr>
            <w:tcW w:w="2245" w:type="dxa"/>
            <w:shd w:val="clear" w:color="auto" w:fill="D2CAB6"/>
          </w:tcPr>
          <w:p w:rsidR="002C5374" w:rsidRPr="00BB75AD" w:rsidRDefault="002C5374" w:rsidP="00BB75AD">
            <w:pPr>
              <w:spacing w:before="120" w:after="0" w:line="312" w:lineRule="auto"/>
              <w:jc w:val="center"/>
              <w:rPr>
                <w:b/>
                <w:bCs/>
                <w:color w:val="000000"/>
                <w:lang w:val="es-ES"/>
              </w:rPr>
            </w:pPr>
            <w:r w:rsidRPr="00BB75AD">
              <w:rPr>
                <w:b/>
                <w:bCs/>
                <w:color w:val="000000"/>
                <w:lang w:val="es-ES"/>
              </w:rPr>
              <w:t>Versión:</w:t>
            </w:r>
          </w:p>
        </w:tc>
        <w:tc>
          <w:tcPr>
            <w:tcW w:w="6735" w:type="dxa"/>
            <w:gridSpan w:val="3"/>
            <w:shd w:val="clear" w:color="auto" w:fill="E3DED1"/>
          </w:tcPr>
          <w:p w:rsidR="002C5374" w:rsidRPr="00BB75AD" w:rsidRDefault="002C5374" w:rsidP="00BB75AD">
            <w:pPr>
              <w:spacing w:before="120" w:after="0" w:line="312" w:lineRule="auto"/>
              <w:jc w:val="center"/>
              <w:rPr>
                <w:color w:val="000000"/>
                <w:lang w:val="es-ES"/>
              </w:rPr>
            </w:pPr>
            <w:r w:rsidRPr="00BB75AD">
              <w:rPr>
                <w:color w:val="000000"/>
                <w:lang w:val="es-ES"/>
              </w:rPr>
              <w:t>1</w:t>
            </w:r>
          </w:p>
        </w:tc>
      </w:tr>
      <w:tr w:rsidR="002C5374" w:rsidRPr="00BB75AD">
        <w:tc>
          <w:tcPr>
            <w:tcW w:w="2245" w:type="dxa"/>
            <w:shd w:val="clear" w:color="auto" w:fill="D2CAB6"/>
          </w:tcPr>
          <w:p w:rsidR="002C5374" w:rsidRPr="00BB75AD" w:rsidRDefault="002C5374" w:rsidP="00BB75AD">
            <w:pPr>
              <w:spacing w:before="120" w:after="0" w:line="312" w:lineRule="auto"/>
              <w:jc w:val="center"/>
              <w:rPr>
                <w:b/>
                <w:bCs/>
                <w:color w:val="000000"/>
                <w:lang w:val="es-ES"/>
              </w:rPr>
            </w:pPr>
            <w:r w:rsidRPr="00BB75AD">
              <w:rPr>
                <w:b/>
                <w:bCs/>
                <w:color w:val="000000"/>
                <w:lang w:val="es-ES"/>
              </w:rPr>
              <w:t>Preparado por:</w:t>
            </w:r>
          </w:p>
        </w:tc>
        <w:tc>
          <w:tcPr>
            <w:tcW w:w="2399" w:type="dxa"/>
            <w:shd w:val="clear" w:color="auto" w:fill="E3DED1"/>
          </w:tcPr>
          <w:p w:rsidR="002C5374" w:rsidRPr="00BB75AD" w:rsidRDefault="002C5374" w:rsidP="00BB75AD">
            <w:pPr>
              <w:spacing w:before="120" w:after="0" w:line="312" w:lineRule="auto"/>
              <w:jc w:val="center"/>
              <w:rPr>
                <w:color w:val="000000"/>
                <w:lang w:val="es-ES"/>
              </w:rPr>
            </w:pPr>
            <w:r w:rsidRPr="00BB75AD">
              <w:rPr>
                <w:color w:val="000000"/>
                <w:lang w:val="es-ES"/>
              </w:rPr>
              <w:t>Comisión</w:t>
            </w:r>
          </w:p>
        </w:tc>
        <w:tc>
          <w:tcPr>
            <w:tcW w:w="2552" w:type="dxa"/>
            <w:shd w:val="clear" w:color="auto" w:fill="D2CAB6"/>
          </w:tcPr>
          <w:p w:rsidR="002C5374" w:rsidRPr="00BB75AD" w:rsidRDefault="002C5374" w:rsidP="00BB75AD">
            <w:pPr>
              <w:spacing w:before="120" w:after="0" w:line="312" w:lineRule="auto"/>
              <w:jc w:val="center"/>
              <w:rPr>
                <w:b/>
                <w:bCs/>
                <w:color w:val="000000"/>
                <w:lang w:val="es-ES"/>
              </w:rPr>
            </w:pPr>
            <w:r w:rsidRPr="00BB75AD">
              <w:rPr>
                <w:b/>
                <w:bCs/>
                <w:color w:val="000000"/>
                <w:lang w:val="es-ES"/>
              </w:rPr>
              <w:t>Fecha de preparación:</w:t>
            </w:r>
          </w:p>
        </w:tc>
        <w:tc>
          <w:tcPr>
            <w:tcW w:w="1784" w:type="dxa"/>
            <w:shd w:val="clear" w:color="auto" w:fill="E3DED1"/>
          </w:tcPr>
          <w:p w:rsidR="002C5374" w:rsidRPr="00BB75AD" w:rsidRDefault="002C5374" w:rsidP="00BB75AD">
            <w:pPr>
              <w:spacing w:before="120" w:after="0" w:line="312" w:lineRule="auto"/>
              <w:jc w:val="center"/>
              <w:rPr>
                <w:color w:val="000000"/>
                <w:lang w:val="es-ES"/>
              </w:rPr>
            </w:pPr>
            <w:r w:rsidRPr="00BB75AD">
              <w:rPr>
                <w:color w:val="000000"/>
                <w:lang w:val="es-ES"/>
              </w:rPr>
              <w:t>29/02/2016</w:t>
            </w:r>
          </w:p>
        </w:tc>
      </w:tr>
      <w:tr w:rsidR="002C5374" w:rsidRPr="00BB75AD">
        <w:tc>
          <w:tcPr>
            <w:tcW w:w="2245" w:type="dxa"/>
            <w:shd w:val="clear" w:color="auto" w:fill="D2CAB6"/>
          </w:tcPr>
          <w:p w:rsidR="002C5374" w:rsidRPr="00BB75AD" w:rsidRDefault="002C5374" w:rsidP="00BB75AD">
            <w:pPr>
              <w:spacing w:before="120" w:after="0" w:line="312" w:lineRule="auto"/>
              <w:jc w:val="center"/>
              <w:rPr>
                <w:b/>
                <w:bCs/>
                <w:color w:val="000000"/>
                <w:lang w:val="es-ES"/>
              </w:rPr>
            </w:pPr>
            <w:r w:rsidRPr="00BB75AD">
              <w:rPr>
                <w:b/>
                <w:bCs/>
                <w:color w:val="000000"/>
                <w:lang w:val="es-ES"/>
              </w:rPr>
              <w:t>Aprobado por:</w:t>
            </w:r>
          </w:p>
        </w:tc>
        <w:tc>
          <w:tcPr>
            <w:tcW w:w="2399" w:type="dxa"/>
            <w:shd w:val="clear" w:color="auto" w:fill="E3DED1"/>
          </w:tcPr>
          <w:p w:rsidR="002C5374" w:rsidRPr="00BB75AD" w:rsidRDefault="002C5374" w:rsidP="00BB75AD">
            <w:pPr>
              <w:spacing w:before="120" w:after="0" w:line="312" w:lineRule="auto"/>
              <w:jc w:val="center"/>
              <w:rPr>
                <w:rFonts w:cs="Times New Roman"/>
                <w:color w:val="000000"/>
                <w:lang w:val="es-ES"/>
              </w:rPr>
            </w:pPr>
          </w:p>
        </w:tc>
        <w:tc>
          <w:tcPr>
            <w:tcW w:w="2552" w:type="dxa"/>
            <w:shd w:val="clear" w:color="auto" w:fill="D2CAB6"/>
          </w:tcPr>
          <w:p w:rsidR="002C5374" w:rsidRPr="00BB75AD" w:rsidRDefault="002C5374" w:rsidP="00BB75AD">
            <w:pPr>
              <w:spacing w:before="120" w:after="0" w:line="312" w:lineRule="auto"/>
              <w:jc w:val="center"/>
              <w:rPr>
                <w:b/>
                <w:bCs/>
                <w:color w:val="000000"/>
                <w:lang w:val="es-ES"/>
              </w:rPr>
            </w:pPr>
            <w:r w:rsidRPr="00BB75AD">
              <w:rPr>
                <w:b/>
                <w:bCs/>
                <w:color w:val="000000"/>
                <w:lang w:val="es-ES"/>
              </w:rPr>
              <w:t>Fecha de aprobación:</w:t>
            </w:r>
          </w:p>
        </w:tc>
        <w:tc>
          <w:tcPr>
            <w:tcW w:w="1784" w:type="dxa"/>
            <w:shd w:val="clear" w:color="auto" w:fill="E3DED1"/>
          </w:tcPr>
          <w:p w:rsidR="002C5374" w:rsidRPr="00BB75AD" w:rsidRDefault="002C5374" w:rsidP="00BB75AD">
            <w:pPr>
              <w:spacing w:before="120" w:after="0" w:line="312" w:lineRule="auto"/>
              <w:jc w:val="center"/>
              <w:rPr>
                <w:rFonts w:cs="Times New Roman"/>
                <w:color w:val="000000"/>
                <w:lang w:val="es-ES"/>
              </w:rPr>
            </w:pPr>
          </w:p>
        </w:tc>
      </w:tr>
      <w:tr w:rsidR="002C5374" w:rsidRPr="00BB75AD">
        <w:tc>
          <w:tcPr>
            <w:tcW w:w="2245" w:type="dxa"/>
            <w:shd w:val="clear" w:color="auto" w:fill="D2CAB6"/>
          </w:tcPr>
          <w:p w:rsidR="002C5374" w:rsidRPr="00BB75AD" w:rsidRDefault="002C5374" w:rsidP="00BB75AD">
            <w:pPr>
              <w:spacing w:before="120" w:after="0" w:line="312" w:lineRule="auto"/>
              <w:jc w:val="center"/>
              <w:rPr>
                <w:b/>
                <w:bCs/>
                <w:color w:val="000000"/>
                <w:lang w:val="es-ES"/>
              </w:rPr>
            </w:pPr>
            <w:r w:rsidRPr="00BB75AD">
              <w:rPr>
                <w:b/>
                <w:bCs/>
                <w:color w:val="000000"/>
                <w:lang w:val="es-ES"/>
              </w:rPr>
              <w:t>Confidencialidad:</w:t>
            </w:r>
          </w:p>
        </w:tc>
        <w:tc>
          <w:tcPr>
            <w:tcW w:w="6735" w:type="dxa"/>
            <w:gridSpan w:val="3"/>
            <w:shd w:val="clear" w:color="auto" w:fill="E3DED1"/>
          </w:tcPr>
          <w:p w:rsidR="002C5374" w:rsidRPr="00BB75AD" w:rsidRDefault="002C5374" w:rsidP="00BB75AD">
            <w:pPr>
              <w:spacing w:before="120" w:after="0" w:line="312" w:lineRule="auto"/>
              <w:jc w:val="center"/>
              <w:rPr>
                <w:rFonts w:cs="Times New Roman"/>
                <w:color w:val="000000"/>
                <w:lang w:val="es-ES"/>
              </w:rPr>
            </w:pPr>
          </w:p>
        </w:tc>
      </w:tr>
    </w:tbl>
    <w:p w:rsidR="002C5374" w:rsidRPr="00E173F7" w:rsidRDefault="002C5374" w:rsidP="008C1DD0">
      <w:pPr>
        <w:jc w:val="center"/>
        <w:rPr>
          <w:rFonts w:cs="Times New Roman"/>
          <w:b/>
          <w:bCs/>
          <w:u w:val="single"/>
          <w:lang w:val="es-ES"/>
        </w:rPr>
      </w:pPr>
    </w:p>
    <w:tbl>
      <w:tblPr>
        <w:tblpPr w:leftFromText="141" w:rightFromText="141" w:vertAnchor="text" w:horzAnchor="margin" w:tblpY="16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3685"/>
        <w:gridCol w:w="2127"/>
        <w:gridCol w:w="2268"/>
      </w:tblGrid>
      <w:tr w:rsidR="002C5374" w:rsidRPr="00BB75AD">
        <w:trPr>
          <w:trHeight w:val="556"/>
        </w:trPr>
        <w:tc>
          <w:tcPr>
            <w:tcW w:w="9039" w:type="dxa"/>
            <w:gridSpan w:val="4"/>
            <w:shd w:val="clear" w:color="auto" w:fill="B9AD8C"/>
          </w:tcPr>
          <w:p w:rsidR="002C5374" w:rsidRPr="00BB75AD" w:rsidRDefault="002C5374" w:rsidP="00BB75AD">
            <w:pPr>
              <w:spacing w:before="120" w:after="0" w:line="312" w:lineRule="auto"/>
              <w:jc w:val="center"/>
              <w:rPr>
                <w:rFonts w:cs="Times New Roman"/>
                <w:b/>
                <w:bCs/>
                <w:color w:val="E3DED1"/>
                <w:sz w:val="24"/>
                <w:szCs w:val="24"/>
                <w:lang w:val="es-ES"/>
              </w:rPr>
            </w:pPr>
            <w:r w:rsidRPr="00BB75AD">
              <w:rPr>
                <w:b/>
                <w:bCs/>
                <w:color w:val="000000"/>
                <w:sz w:val="24"/>
                <w:szCs w:val="24"/>
                <w:lang w:val="es-ES"/>
              </w:rPr>
              <w:t>CONTROL DE VERSIÓN</w:t>
            </w:r>
          </w:p>
        </w:tc>
      </w:tr>
      <w:tr w:rsidR="002C5374" w:rsidRPr="00BB75AD">
        <w:tc>
          <w:tcPr>
            <w:tcW w:w="959" w:type="dxa"/>
            <w:shd w:val="clear" w:color="auto" w:fill="D2CAB6"/>
          </w:tcPr>
          <w:p w:rsidR="002C5374" w:rsidRPr="00BB75AD" w:rsidRDefault="002C5374" w:rsidP="00BB75AD">
            <w:pPr>
              <w:spacing w:before="120" w:after="0" w:line="312" w:lineRule="auto"/>
              <w:jc w:val="center"/>
              <w:rPr>
                <w:b/>
                <w:bCs/>
                <w:color w:val="000000"/>
                <w:lang w:val="es-ES"/>
              </w:rPr>
            </w:pPr>
            <w:r w:rsidRPr="00BB75AD">
              <w:rPr>
                <w:b/>
                <w:bCs/>
                <w:color w:val="000000"/>
                <w:lang w:val="es-ES"/>
              </w:rPr>
              <w:t>Versión</w:t>
            </w:r>
          </w:p>
        </w:tc>
        <w:tc>
          <w:tcPr>
            <w:tcW w:w="3685" w:type="dxa"/>
            <w:shd w:val="clear" w:color="auto" w:fill="D2CAB6"/>
          </w:tcPr>
          <w:p w:rsidR="002C5374" w:rsidRPr="00BB75AD" w:rsidRDefault="002C5374" w:rsidP="00BB75AD">
            <w:pPr>
              <w:spacing w:before="120" w:after="0" w:line="312" w:lineRule="auto"/>
              <w:jc w:val="center"/>
              <w:rPr>
                <w:b/>
                <w:bCs/>
                <w:color w:val="000000"/>
                <w:lang w:val="es-ES"/>
              </w:rPr>
            </w:pPr>
            <w:r w:rsidRPr="00BB75AD">
              <w:rPr>
                <w:b/>
                <w:bCs/>
                <w:color w:val="000000"/>
                <w:lang w:val="es-ES"/>
              </w:rPr>
              <w:t>Descripción de las alteraciones</w:t>
            </w:r>
          </w:p>
        </w:tc>
        <w:tc>
          <w:tcPr>
            <w:tcW w:w="2127" w:type="dxa"/>
            <w:shd w:val="clear" w:color="auto" w:fill="D2CAB6"/>
          </w:tcPr>
          <w:p w:rsidR="002C5374" w:rsidRPr="00BB75AD" w:rsidRDefault="002C5374" w:rsidP="00BB75AD">
            <w:pPr>
              <w:spacing w:before="120" w:after="0" w:line="312" w:lineRule="auto"/>
              <w:jc w:val="center"/>
              <w:rPr>
                <w:b/>
                <w:bCs/>
                <w:color w:val="000000"/>
                <w:lang w:val="es-ES"/>
              </w:rPr>
            </w:pPr>
            <w:r w:rsidRPr="00BB75AD">
              <w:rPr>
                <w:b/>
                <w:bCs/>
                <w:color w:val="000000"/>
                <w:lang w:val="es-ES"/>
              </w:rPr>
              <w:t>Preparado por</w:t>
            </w:r>
          </w:p>
        </w:tc>
        <w:tc>
          <w:tcPr>
            <w:tcW w:w="2268" w:type="dxa"/>
            <w:shd w:val="clear" w:color="auto" w:fill="D2CAB6"/>
          </w:tcPr>
          <w:p w:rsidR="002C5374" w:rsidRPr="00BB75AD" w:rsidRDefault="002C5374" w:rsidP="00BB75AD">
            <w:pPr>
              <w:spacing w:before="120" w:after="0" w:line="312" w:lineRule="auto"/>
              <w:jc w:val="center"/>
              <w:rPr>
                <w:b/>
                <w:bCs/>
                <w:color w:val="000000"/>
                <w:lang w:val="es-ES"/>
              </w:rPr>
            </w:pPr>
            <w:r w:rsidRPr="00BB75AD">
              <w:rPr>
                <w:b/>
                <w:bCs/>
                <w:color w:val="000000"/>
                <w:lang w:val="es-ES"/>
              </w:rPr>
              <w:t>Fecha de preparación</w:t>
            </w:r>
          </w:p>
        </w:tc>
      </w:tr>
      <w:tr w:rsidR="002C5374" w:rsidRPr="00BB75AD">
        <w:tc>
          <w:tcPr>
            <w:tcW w:w="959" w:type="dxa"/>
            <w:shd w:val="clear" w:color="auto" w:fill="E3DED1"/>
          </w:tcPr>
          <w:p w:rsidR="002C5374" w:rsidRPr="00BB75AD" w:rsidRDefault="002C5374" w:rsidP="00BB75AD">
            <w:pPr>
              <w:spacing w:before="120" w:after="0" w:line="312" w:lineRule="auto"/>
              <w:jc w:val="center"/>
              <w:rPr>
                <w:color w:val="000000"/>
                <w:lang w:val="es-ES"/>
              </w:rPr>
            </w:pPr>
            <w:r w:rsidRPr="00BB75AD">
              <w:rPr>
                <w:color w:val="000000"/>
                <w:lang w:val="es-ES"/>
              </w:rPr>
              <w:t>1.0</w:t>
            </w:r>
          </w:p>
        </w:tc>
        <w:tc>
          <w:tcPr>
            <w:tcW w:w="3685" w:type="dxa"/>
            <w:shd w:val="clear" w:color="auto" w:fill="E3DED1"/>
          </w:tcPr>
          <w:p w:rsidR="002C5374" w:rsidRPr="00BB75AD" w:rsidRDefault="002C5374" w:rsidP="00BB75AD">
            <w:pPr>
              <w:spacing w:before="120" w:after="0" w:line="312" w:lineRule="auto"/>
              <w:jc w:val="center"/>
              <w:rPr>
                <w:color w:val="000000"/>
                <w:lang w:val="es-ES"/>
              </w:rPr>
            </w:pPr>
          </w:p>
        </w:tc>
        <w:tc>
          <w:tcPr>
            <w:tcW w:w="2127" w:type="dxa"/>
            <w:shd w:val="clear" w:color="auto" w:fill="E3DED1"/>
          </w:tcPr>
          <w:p w:rsidR="002C5374" w:rsidRPr="00BB75AD" w:rsidRDefault="002C5374" w:rsidP="00BB75AD">
            <w:pPr>
              <w:spacing w:before="120" w:after="0" w:line="312" w:lineRule="auto"/>
              <w:jc w:val="center"/>
              <w:rPr>
                <w:rFonts w:cs="Times New Roman"/>
                <w:b/>
                <w:bCs/>
                <w:color w:val="000000"/>
                <w:lang w:val="es-ES"/>
              </w:rPr>
            </w:pPr>
          </w:p>
        </w:tc>
        <w:tc>
          <w:tcPr>
            <w:tcW w:w="2268" w:type="dxa"/>
            <w:shd w:val="clear" w:color="auto" w:fill="E3DED1"/>
          </w:tcPr>
          <w:p w:rsidR="002C5374" w:rsidRPr="00BB75AD" w:rsidRDefault="002C5374" w:rsidP="00BB75AD">
            <w:pPr>
              <w:spacing w:before="120" w:after="0" w:line="312" w:lineRule="auto"/>
              <w:jc w:val="center"/>
              <w:rPr>
                <w:color w:val="000000"/>
                <w:lang w:val="es-ES"/>
              </w:rPr>
            </w:pPr>
            <w:r w:rsidRPr="00BB75AD">
              <w:rPr>
                <w:color w:val="000000"/>
                <w:lang w:val="es-ES"/>
              </w:rPr>
              <w:t>29/02/16</w:t>
            </w:r>
          </w:p>
        </w:tc>
      </w:tr>
    </w:tbl>
    <w:p w:rsidR="002C5374" w:rsidRPr="00E173F7" w:rsidRDefault="002C5374" w:rsidP="008C1DD0">
      <w:pPr>
        <w:jc w:val="center"/>
        <w:rPr>
          <w:rFonts w:cs="Times New Roman"/>
          <w:b/>
          <w:bCs/>
          <w:u w:val="single"/>
          <w:lang w:val="es-ES"/>
        </w:rPr>
      </w:pPr>
    </w:p>
    <w:tbl>
      <w:tblPr>
        <w:tblpPr w:leftFromText="141" w:rightFromText="141" w:vertAnchor="text" w:horzAnchor="margin" w:tblpY="16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4395"/>
      </w:tblGrid>
      <w:tr w:rsidR="002C5374" w:rsidRPr="00BB75AD">
        <w:trPr>
          <w:trHeight w:val="556"/>
        </w:trPr>
        <w:tc>
          <w:tcPr>
            <w:tcW w:w="9039" w:type="dxa"/>
            <w:gridSpan w:val="2"/>
            <w:shd w:val="clear" w:color="auto" w:fill="B9AD8C"/>
          </w:tcPr>
          <w:p w:rsidR="002C5374" w:rsidRPr="00BB75AD" w:rsidRDefault="002C5374" w:rsidP="00BB75AD">
            <w:pPr>
              <w:spacing w:before="120" w:after="0" w:line="312" w:lineRule="auto"/>
              <w:jc w:val="center"/>
              <w:rPr>
                <w:b/>
                <w:bCs/>
                <w:color w:val="000000"/>
                <w:sz w:val="24"/>
                <w:szCs w:val="24"/>
                <w:lang w:val="es-ES"/>
              </w:rPr>
            </w:pPr>
            <w:r w:rsidRPr="00BB75AD">
              <w:rPr>
                <w:b/>
                <w:bCs/>
                <w:color w:val="000000"/>
                <w:sz w:val="24"/>
                <w:szCs w:val="24"/>
                <w:lang w:val="es-ES"/>
              </w:rPr>
              <w:t>LISTA DE DISTRIBUCIÓN</w:t>
            </w:r>
          </w:p>
        </w:tc>
      </w:tr>
      <w:tr w:rsidR="002C5374" w:rsidRPr="00BB75AD">
        <w:tc>
          <w:tcPr>
            <w:tcW w:w="4644" w:type="dxa"/>
            <w:shd w:val="clear" w:color="auto" w:fill="D2CAB6"/>
          </w:tcPr>
          <w:p w:rsidR="002C5374" w:rsidRPr="00BB75AD" w:rsidRDefault="002C5374" w:rsidP="00BB75AD">
            <w:pPr>
              <w:spacing w:before="120" w:after="0" w:line="312" w:lineRule="auto"/>
              <w:jc w:val="center"/>
              <w:rPr>
                <w:b/>
                <w:bCs/>
                <w:color w:val="000000"/>
                <w:lang w:val="es-ES"/>
              </w:rPr>
            </w:pPr>
            <w:r w:rsidRPr="00BB75AD">
              <w:rPr>
                <w:b/>
                <w:bCs/>
                <w:color w:val="000000"/>
                <w:lang w:val="es-ES"/>
              </w:rPr>
              <w:t>Nombre</w:t>
            </w:r>
          </w:p>
        </w:tc>
        <w:tc>
          <w:tcPr>
            <w:tcW w:w="4395" w:type="dxa"/>
            <w:shd w:val="clear" w:color="auto" w:fill="D2CAB6"/>
          </w:tcPr>
          <w:p w:rsidR="002C5374" w:rsidRPr="00BB75AD" w:rsidRDefault="002C5374" w:rsidP="00BB75AD">
            <w:pPr>
              <w:spacing w:before="120" w:after="0" w:line="312" w:lineRule="auto"/>
              <w:jc w:val="center"/>
              <w:rPr>
                <w:b/>
                <w:bCs/>
                <w:color w:val="000000"/>
                <w:lang w:val="es-ES"/>
              </w:rPr>
            </w:pPr>
            <w:r w:rsidRPr="00BB75AD">
              <w:rPr>
                <w:b/>
                <w:bCs/>
                <w:color w:val="000000"/>
                <w:lang w:val="es-ES"/>
              </w:rPr>
              <w:t>Cargo / Función</w:t>
            </w:r>
          </w:p>
        </w:tc>
      </w:tr>
      <w:tr w:rsidR="002C5374" w:rsidRPr="00BB75AD">
        <w:tc>
          <w:tcPr>
            <w:tcW w:w="4644" w:type="dxa"/>
            <w:shd w:val="clear" w:color="auto" w:fill="E3DED1"/>
            <w:vAlign w:val="center"/>
          </w:tcPr>
          <w:p w:rsidR="002C5374" w:rsidRPr="00BB75AD" w:rsidRDefault="002C5374" w:rsidP="00BB75AD">
            <w:pPr>
              <w:spacing w:before="120" w:after="0" w:line="312" w:lineRule="auto"/>
              <w:jc w:val="center"/>
              <w:rPr>
                <w:rFonts w:cs="Times New Roman"/>
                <w:color w:val="000000"/>
                <w:lang w:val="es-ES"/>
              </w:rPr>
            </w:pPr>
          </w:p>
        </w:tc>
        <w:tc>
          <w:tcPr>
            <w:tcW w:w="4395" w:type="dxa"/>
            <w:shd w:val="clear" w:color="auto" w:fill="E3DED1"/>
            <w:vAlign w:val="center"/>
          </w:tcPr>
          <w:p w:rsidR="002C5374" w:rsidRPr="00BB75AD" w:rsidRDefault="002C5374" w:rsidP="00BB75AD">
            <w:pPr>
              <w:spacing w:before="120" w:after="0" w:line="312" w:lineRule="auto"/>
              <w:jc w:val="center"/>
              <w:rPr>
                <w:rFonts w:cs="Times New Roman"/>
                <w:color w:val="000000"/>
                <w:lang w:val="es-ES"/>
              </w:rPr>
            </w:pPr>
          </w:p>
        </w:tc>
      </w:tr>
      <w:tr w:rsidR="002C5374" w:rsidRPr="00BB75AD">
        <w:tc>
          <w:tcPr>
            <w:tcW w:w="4644" w:type="dxa"/>
            <w:shd w:val="clear" w:color="auto" w:fill="E3DED1"/>
            <w:vAlign w:val="center"/>
          </w:tcPr>
          <w:p w:rsidR="002C5374" w:rsidRPr="00BB75AD" w:rsidRDefault="002C5374" w:rsidP="00BB75AD">
            <w:pPr>
              <w:spacing w:before="120" w:after="0" w:line="312" w:lineRule="auto"/>
              <w:jc w:val="center"/>
              <w:rPr>
                <w:rFonts w:cs="Times New Roman"/>
                <w:color w:val="000000"/>
                <w:lang w:val="es-ES"/>
              </w:rPr>
            </w:pPr>
          </w:p>
        </w:tc>
        <w:tc>
          <w:tcPr>
            <w:tcW w:w="4395" w:type="dxa"/>
            <w:shd w:val="clear" w:color="auto" w:fill="E3DED1"/>
            <w:vAlign w:val="center"/>
          </w:tcPr>
          <w:p w:rsidR="002C5374" w:rsidRPr="00BB75AD" w:rsidRDefault="002C5374" w:rsidP="00BB75AD">
            <w:pPr>
              <w:spacing w:before="120" w:after="0" w:line="312" w:lineRule="auto"/>
              <w:jc w:val="center"/>
              <w:rPr>
                <w:rFonts w:cs="Times New Roman"/>
                <w:color w:val="000000"/>
                <w:lang w:val="es-ES"/>
              </w:rPr>
            </w:pPr>
          </w:p>
        </w:tc>
      </w:tr>
      <w:tr w:rsidR="002C5374" w:rsidRPr="00BB75AD">
        <w:tc>
          <w:tcPr>
            <w:tcW w:w="4644" w:type="dxa"/>
            <w:shd w:val="clear" w:color="auto" w:fill="E3DED1"/>
            <w:vAlign w:val="center"/>
          </w:tcPr>
          <w:p w:rsidR="002C5374" w:rsidRPr="00BB75AD" w:rsidRDefault="002C5374" w:rsidP="00BB75AD">
            <w:pPr>
              <w:spacing w:before="120" w:after="0" w:line="312" w:lineRule="auto"/>
              <w:jc w:val="center"/>
              <w:rPr>
                <w:rFonts w:cs="Times New Roman"/>
                <w:color w:val="000000"/>
                <w:lang w:val="es-ES"/>
              </w:rPr>
            </w:pPr>
          </w:p>
        </w:tc>
        <w:tc>
          <w:tcPr>
            <w:tcW w:w="4395" w:type="dxa"/>
            <w:shd w:val="clear" w:color="auto" w:fill="E3DED1"/>
            <w:vAlign w:val="center"/>
          </w:tcPr>
          <w:p w:rsidR="002C5374" w:rsidRPr="00BB75AD" w:rsidRDefault="002C5374" w:rsidP="00BB75AD">
            <w:pPr>
              <w:tabs>
                <w:tab w:val="left" w:pos="2513"/>
              </w:tabs>
              <w:spacing w:before="120" w:after="0" w:line="312" w:lineRule="auto"/>
              <w:jc w:val="center"/>
              <w:rPr>
                <w:rFonts w:cs="Times New Roman"/>
                <w:color w:val="000000"/>
                <w:lang w:val="es-ES"/>
              </w:rPr>
            </w:pPr>
          </w:p>
        </w:tc>
      </w:tr>
    </w:tbl>
    <w:p w:rsidR="002C5374" w:rsidRPr="00E173F7" w:rsidRDefault="002C5374" w:rsidP="008C1DD0">
      <w:pPr>
        <w:jc w:val="center"/>
        <w:rPr>
          <w:rFonts w:cs="Times New Roman"/>
          <w:b/>
          <w:bCs/>
          <w:u w:val="single"/>
          <w:lang w:val="es-ES"/>
        </w:rPr>
      </w:pPr>
    </w:p>
    <w:p w:rsidR="002C5374" w:rsidRPr="008C1DD0" w:rsidRDefault="002C5374" w:rsidP="008C1DD0">
      <w:pPr>
        <w:jc w:val="center"/>
        <w:rPr>
          <w:rFonts w:cs="Times New Roman"/>
          <w:b/>
          <w:bCs/>
          <w:u w:val="single"/>
          <w:lang w:val="es-ES"/>
        </w:rPr>
      </w:pPr>
    </w:p>
    <w:p w:rsidR="002C5374" w:rsidRDefault="002C5374">
      <w:pPr>
        <w:jc w:val="left"/>
        <w:rPr>
          <w:rFonts w:cs="Times New Roman"/>
          <w:b/>
          <w:bCs/>
          <w:u w:val="single"/>
          <w:lang w:val="es-ES"/>
        </w:rPr>
      </w:pPr>
      <w:r>
        <w:rPr>
          <w:rFonts w:cs="Times New Roman"/>
          <w:b/>
          <w:bCs/>
          <w:u w:val="single"/>
          <w:lang w:val="es-ES"/>
        </w:rPr>
        <w:br w:type="page"/>
      </w:r>
    </w:p>
    <w:p w:rsidR="002C5374" w:rsidRDefault="002C5374">
      <w:pPr>
        <w:pStyle w:val="TOC1"/>
        <w:rPr>
          <w:rFonts w:cs="Times New Roman"/>
          <w:b w:val="0"/>
          <w:bCs w:val="0"/>
          <w:caps w:val="0"/>
          <w:lang w:val="es-ES" w:eastAsia="es-ES"/>
        </w:rPr>
      </w:pPr>
      <w:r w:rsidRPr="00F232DD">
        <w:rPr>
          <w:lang w:val="es-ES"/>
        </w:rPr>
        <w:fldChar w:fldCharType="begin"/>
      </w:r>
      <w:r w:rsidRPr="00F232DD">
        <w:rPr>
          <w:lang w:val="es-ES"/>
        </w:rPr>
        <w:instrText xml:space="preserve"> TOC \o "1-3" \u </w:instrText>
      </w:r>
      <w:r w:rsidRPr="00F232DD">
        <w:rPr>
          <w:lang w:val="es-ES"/>
        </w:rPr>
        <w:fldChar w:fldCharType="separate"/>
      </w:r>
      <w:r w:rsidRPr="00FC6384">
        <w:rPr>
          <w:color w:val="000000"/>
          <w:lang w:val="es-ES"/>
        </w:rPr>
        <w:t>FICHA DE CONTROL DEL DOCUMENTO</w:t>
      </w:r>
      <w:r w:rsidRPr="00315CDF">
        <w:rPr>
          <w:rFonts w:cs="Times New Roman"/>
          <w:lang w:val="es-ES"/>
        </w:rPr>
        <w:tab/>
      </w:r>
      <w:r w:rsidRPr="00315CDF">
        <w:rPr>
          <w:lang w:val="es-ES"/>
        </w:rPr>
        <w:fldChar w:fldCharType="begin"/>
      </w:r>
      <w:r w:rsidRPr="00315CDF">
        <w:rPr>
          <w:lang w:val="es-ES"/>
        </w:rPr>
        <w:instrText xml:space="preserve"> PAGEREF _Toc444607424 \h </w:instrText>
      </w:r>
      <w:r>
        <w:rPr>
          <w:rFonts w:cs="Times New Roman"/>
        </w:rPr>
      </w:r>
      <w:r w:rsidRPr="00315CDF">
        <w:rPr>
          <w:lang w:val="es-ES"/>
        </w:rPr>
        <w:fldChar w:fldCharType="separate"/>
      </w:r>
      <w:r w:rsidRPr="00315CDF">
        <w:rPr>
          <w:lang w:val="es-ES"/>
        </w:rPr>
        <w:t>2</w:t>
      </w:r>
      <w:r w:rsidRPr="00315CDF">
        <w:rPr>
          <w:lang w:val="es-ES"/>
        </w:rPr>
        <w:fldChar w:fldCharType="end"/>
      </w:r>
    </w:p>
    <w:p w:rsidR="002C5374" w:rsidRDefault="002C5374">
      <w:pPr>
        <w:pStyle w:val="TOC1"/>
        <w:rPr>
          <w:rFonts w:cs="Times New Roman"/>
          <w:b w:val="0"/>
          <w:bCs w:val="0"/>
          <w:caps w:val="0"/>
          <w:lang w:val="es-ES" w:eastAsia="es-ES"/>
        </w:rPr>
      </w:pPr>
      <w:r w:rsidRPr="00FC6384">
        <w:rPr>
          <w:lang w:val="es-ES"/>
        </w:rPr>
        <w:t>1</w:t>
      </w:r>
      <w:r>
        <w:rPr>
          <w:rFonts w:cs="Times New Roman"/>
          <w:b w:val="0"/>
          <w:bCs w:val="0"/>
          <w:caps w:val="0"/>
          <w:lang w:val="es-ES" w:eastAsia="es-ES"/>
        </w:rPr>
        <w:tab/>
      </w:r>
      <w:r w:rsidRPr="00FC6384">
        <w:rPr>
          <w:lang w:val="es-ES"/>
        </w:rPr>
        <w:t>ANTECEDENTES</w:t>
      </w:r>
      <w:r w:rsidRPr="00315CDF">
        <w:rPr>
          <w:rFonts w:cs="Times New Roman"/>
          <w:lang w:val="es-ES"/>
        </w:rPr>
        <w:tab/>
      </w:r>
      <w:r w:rsidRPr="00315CDF">
        <w:rPr>
          <w:lang w:val="es-ES"/>
        </w:rPr>
        <w:fldChar w:fldCharType="begin"/>
      </w:r>
      <w:r w:rsidRPr="00315CDF">
        <w:rPr>
          <w:lang w:val="es-ES"/>
        </w:rPr>
        <w:instrText xml:space="preserve"> PAGEREF _Toc444607425 \h </w:instrText>
      </w:r>
      <w:r>
        <w:rPr>
          <w:rFonts w:cs="Times New Roman"/>
        </w:rPr>
      </w:r>
      <w:r w:rsidRPr="00315CDF">
        <w:rPr>
          <w:lang w:val="es-ES"/>
        </w:rPr>
        <w:fldChar w:fldCharType="separate"/>
      </w:r>
      <w:r w:rsidRPr="00315CDF">
        <w:rPr>
          <w:lang w:val="es-ES"/>
        </w:rPr>
        <w:t>5</w:t>
      </w:r>
      <w:r w:rsidRPr="00315CDF">
        <w:rPr>
          <w:lang w:val="es-ES"/>
        </w:rPr>
        <w:fldChar w:fldCharType="end"/>
      </w:r>
    </w:p>
    <w:p w:rsidR="002C5374" w:rsidRDefault="002C5374">
      <w:pPr>
        <w:pStyle w:val="TOC2"/>
        <w:rPr>
          <w:rFonts w:cs="Times New Roman"/>
          <w:caps w:val="0"/>
          <w:noProof/>
          <w:lang w:val="es-ES" w:eastAsia="es-ES"/>
        </w:rPr>
      </w:pPr>
      <w:r w:rsidRPr="00315CDF">
        <w:rPr>
          <w:noProof/>
          <w:lang w:val="es-ES"/>
        </w:rPr>
        <w:t>1.1</w:t>
      </w:r>
      <w:r>
        <w:rPr>
          <w:rFonts w:cs="Times New Roman"/>
          <w:caps w:val="0"/>
          <w:noProof/>
          <w:lang w:val="es-ES" w:eastAsia="es-ES"/>
        </w:rPr>
        <w:tab/>
      </w:r>
      <w:r w:rsidRPr="00315CDF">
        <w:rPr>
          <w:noProof/>
          <w:lang w:val="es-ES"/>
        </w:rPr>
        <w:t>COMPOSICIÓN DE LA COMISIÓN</w:t>
      </w:r>
      <w:r w:rsidRPr="00315CDF">
        <w:rPr>
          <w:noProof/>
          <w:lang w:val="es-ES"/>
        </w:rPr>
        <w:tab/>
      </w:r>
      <w:r w:rsidRPr="00315CDF">
        <w:rPr>
          <w:noProof/>
          <w:lang w:val="es-ES"/>
        </w:rPr>
        <w:fldChar w:fldCharType="begin"/>
      </w:r>
      <w:r w:rsidRPr="00315CDF">
        <w:rPr>
          <w:noProof/>
          <w:lang w:val="es-ES"/>
        </w:rPr>
        <w:instrText xml:space="preserve"> PAGEREF _Toc444607426 \h </w:instrText>
      </w:r>
      <w:r>
        <w:rPr>
          <w:rFonts w:cs="Times New Roman"/>
          <w:noProof/>
        </w:rPr>
      </w:r>
      <w:r w:rsidRPr="00315CDF">
        <w:rPr>
          <w:noProof/>
          <w:lang w:val="es-ES"/>
        </w:rPr>
        <w:fldChar w:fldCharType="separate"/>
      </w:r>
      <w:r w:rsidRPr="00315CDF">
        <w:rPr>
          <w:noProof/>
          <w:lang w:val="es-ES"/>
        </w:rPr>
        <w:t>6</w:t>
      </w:r>
      <w:r w:rsidRPr="00315CDF">
        <w:rPr>
          <w:noProof/>
          <w:lang w:val="es-ES"/>
        </w:rPr>
        <w:fldChar w:fldCharType="end"/>
      </w:r>
    </w:p>
    <w:p w:rsidR="002C5374" w:rsidRDefault="002C5374">
      <w:pPr>
        <w:pStyle w:val="TOC2"/>
        <w:rPr>
          <w:rFonts w:cs="Times New Roman"/>
          <w:caps w:val="0"/>
          <w:noProof/>
          <w:lang w:val="es-ES" w:eastAsia="es-ES"/>
        </w:rPr>
      </w:pPr>
      <w:r w:rsidRPr="00FC6384">
        <w:rPr>
          <w:noProof/>
          <w:lang w:val="es-ES"/>
        </w:rPr>
        <w:t>1.2</w:t>
      </w:r>
      <w:r>
        <w:rPr>
          <w:rFonts w:cs="Times New Roman"/>
          <w:caps w:val="0"/>
          <w:noProof/>
          <w:lang w:val="es-ES" w:eastAsia="es-ES"/>
        </w:rPr>
        <w:tab/>
      </w:r>
      <w:r w:rsidRPr="00FC6384">
        <w:rPr>
          <w:noProof/>
          <w:lang w:val="es-ES"/>
        </w:rPr>
        <w:t>OBJETO DEL INFORME Y DEL RESUMEN EJECUTIVO</w:t>
      </w:r>
      <w:r w:rsidRPr="00315CDF">
        <w:rPr>
          <w:rFonts w:cs="Times New Roman"/>
          <w:noProof/>
          <w:lang w:val="es-ES"/>
        </w:rPr>
        <w:tab/>
      </w:r>
      <w:r w:rsidRPr="00315CDF">
        <w:rPr>
          <w:noProof/>
          <w:lang w:val="es-ES"/>
        </w:rPr>
        <w:fldChar w:fldCharType="begin"/>
      </w:r>
      <w:r w:rsidRPr="00315CDF">
        <w:rPr>
          <w:noProof/>
          <w:lang w:val="es-ES"/>
        </w:rPr>
        <w:instrText xml:space="preserve"> PAGEREF _Toc444607427 \h </w:instrText>
      </w:r>
      <w:r>
        <w:rPr>
          <w:rFonts w:cs="Times New Roman"/>
          <w:noProof/>
        </w:rPr>
      </w:r>
      <w:r w:rsidRPr="00315CDF">
        <w:rPr>
          <w:noProof/>
          <w:lang w:val="es-ES"/>
        </w:rPr>
        <w:fldChar w:fldCharType="separate"/>
      </w:r>
      <w:r w:rsidRPr="00315CDF">
        <w:rPr>
          <w:noProof/>
          <w:lang w:val="es-ES"/>
        </w:rPr>
        <w:t>7</w:t>
      </w:r>
      <w:r w:rsidRPr="00315CDF">
        <w:rPr>
          <w:noProof/>
          <w:lang w:val="es-ES"/>
        </w:rPr>
        <w:fldChar w:fldCharType="end"/>
      </w:r>
    </w:p>
    <w:p w:rsidR="002C5374" w:rsidRDefault="002C5374">
      <w:pPr>
        <w:pStyle w:val="TOC2"/>
        <w:rPr>
          <w:rFonts w:cs="Times New Roman"/>
          <w:caps w:val="0"/>
          <w:noProof/>
          <w:lang w:val="es-ES" w:eastAsia="es-ES"/>
        </w:rPr>
      </w:pPr>
      <w:r w:rsidRPr="00E62B57">
        <w:rPr>
          <w:noProof/>
          <w:lang w:val="es-ES"/>
        </w:rPr>
        <w:t>1.3</w:t>
      </w:r>
      <w:r>
        <w:rPr>
          <w:rFonts w:cs="Times New Roman"/>
          <w:caps w:val="0"/>
          <w:noProof/>
          <w:lang w:val="es-ES" w:eastAsia="es-ES"/>
        </w:rPr>
        <w:tab/>
      </w:r>
      <w:r w:rsidRPr="00E62B57">
        <w:rPr>
          <w:noProof/>
          <w:lang w:val="es-ES"/>
        </w:rPr>
        <w:t>METODOLOGÍA DE TRABAJO</w:t>
      </w:r>
      <w:r w:rsidRPr="00E62B57">
        <w:rPr>
          <w:noProof/>
          <w:lang w:val="es-ES"/>
        </w:rPr>
        <w:tab/>
      </w:r>
      <w:r w:rsidRPr="00E62B57">
        <w:rPr>
          <w:noProof/>
          <w:lang w:val="es-ES"/>
        </w:rPr>
        <w:fldChar w:fldCharType="begin"/>
      </w:r>
      <w:r w:rsidRPr="00E62B57">
        <w:rPr>
          <w:noProof/>
          <w:lang w:val="es-ES"/>
        </w:rPr>
        <w:instrText xml:space="preserve"> PAGEREF _Toc444607428 \h </w:instrText>
      </w:r>
      <w:r>
        <w:rPr>
          <w:rFonts w:cs="Times New Roman"/>
          <w:noProof/>
        </w:rPr>
      </w:r>
      <w:r w:rsidRPr="00E62B57">
        <w:rPr>
          <w:noProof/>
          <w:lang w:val="es-ES"/>
        </w:rPr>
        <w:fldChar w:fldCharType="separate"/>
      </w:r>
      <w:r w:rsidRPr="00E62B57">
        <w:rPr>
          <w:noProof/>
          <w:lang w:val="es-ES"/>
        </w:rPr>
        <w:t>7</w:t>
      </w:r>
      <w:r w:rsidRPr="00E62B57">
        <w:rPr>
          <w:noProof/>
          <w:lang w:val="es-ES"/>
        </w:rPr>
        <w:fldChar w:fldCharType="end"/>
      </w:r>
    </w:p>
    <w:p w:rsidR="002C5374" w:rsidRDefault="002C5374">
      <w:pPr>
        <w:pStyle w:val="TOC1"/>
        <w:rPr>
          <w:rFonts w:cs="Times New Roman"/>
          <w:b w:val="0"/>
          <w:bCs w:val="0"/>
          <w:caps w:val="0"/>
          <w:lang w:val="es-ES" w:eastAsia="es-ES"/>
        </w:rPr>
      </w:pPr>
      <w:r w:rsidRPr="00FC6384">
        <w:rPr>
          <w:lang w:val="es-ES"/>
        </w:rPr>
        <w:t>2</w:t>
      </w:r>
      <w:r>
        <w:rPr>
          <w:rFonts w:cs="Times New Roman"/>
          <w:b w:val="0"/>
          <w:bCs w:val="0"/>
          <w:caps w:val="0"/>
          <w:lang w:val="es-ES" w:eastAsia="es-ES"/>
        </w:rPr>
        <w:tab/>
      </w:r>
      <w:r w:rsidRPr="00FC6384">
        <w:rPr>
          <w:lang w:val="es-ES"/>
        </w:rPr>
        <w:t>DOCUMENTACIÓN DISPONIBLE</w:t>
      </w:r>
      <w:r w:rsidRPr="00315CDF">
        <w:rPr>
          <w:rFonts w:cs="Times New Roman"/>
          <w:lang w:val="es-ES"/>
        </w:rPr>
        <w:tab/>
      </w:r>
      <w:r w:rsidRPr="00315CDF">
        <w:rPr>
          <w:lang w:val="es-ES"/>
        </w:rPr>
        <w:fldChar w:fldCharType="begin"/>
      </w:r>
      <w:r w:rsidRPr="00315CDF">
        <w:rPr>
          <w:lang w:val="es-ES"/>
        </w:rPr>
        <w:instrText xml:space="preserve"> PAGEREF _Toc444607429 \h </w:instrText>
      </w:r>
      <w:r>
        <w:rPr>
          <w:rFonts w:cs="Times New Roman"/>
        </w:rPr>
      </w:r>
      <w:r w:rsidRPr="00315CDF">
        <w:rPr>
          <w:lang w:val="es-ES"/>
        </w:rPr>
        <w:fldChar w:fldCharType="separate"/>
      </w:r>
      <w:r w:rsidRPr="00315CDF">
        <w:rPr>
          <w:lang w:val="es-ES"/>
        </w:rPr>
        <w:t>8</w:t>
      </w:r>
      <w:r w:rsidRPr="00315CDF">
        <w:rPr>
          <w:lang w:val="es-ES"/>
        </w:rPr>
        <w:fldChar w:fldCharType="end"/>
      </w:r>
    </w:p>
    <w:p w:rsidR="002C5374" w:rsidRDefault="002C5374">
      <w:pPr>
        <w:pStyle w:val="TOC1"/>
        <w:rPr>
          <w:rFonts w:cs="Times New Roman"/>
          <w:b w:val="0"/>
          <w:bCs w:val="0"/>
          <w:caps w:val="0"/>
          <w:lang w:val="es-ES" w:eastAsia="es-ES"/>
        </w:rPr>
      </w:pPr>
      <w:r w:rsidRPr="00FC6384">
        <w:rPr>
          <w:lang w:val="es-ES"/>
        </w:rPr>
        <w:t>3</w:t>
      </w:r>
      <w:r>
        <w:rPr>
          <w:rFonts w:cs="Times New Roman"/>
          <w:b w:val="0"/>
          <w:bCs w:val="0"/>
          <w:caps w:val="0"/>
          <w:lang w:val="es-ES" w:eastAsia="es-ES"/>
        </w:rPr>
        <w:tab/>
      </w:r>
      <w:r w:rsidRPr="00FC6384">
        <w:rPr>
          <w:lang w:val="es-ES"/>
        </w:rPr>
        <w:t>AMPLIACIÓN DE LA INFORMACIÓN DISPONIBLE</w:t>
      </w:r>
      <w:r w:rsidRPr="00315CDF">
        <w:rPr>
          <w:rFonts w:cs="Times New Roman"/>
          <w:lang w:val="es-ES"/>
        </w:rPr>
        <w:tab/>
      </w:r>
      <w:r w:rsidRPr="00315CDF">
        <w:rPr>
          <w:lang w:val="es-ES"/>
        </w:rPr>
        <w:fldChar w:fldCharType="begin"/>
      </w:r>
      <w:r w:rsidRPr="00315CDF">
        <w:rPr>
          <w:lang w:val="es-ES"/>
        </w:rPr>
        <w:instrText xml:space="preserve"> PAGEREF _Toc444607430 \h </w:instrText>
      </w:r>
      <w:r>
        <w:rPr>
          <w:rFonts w:cs="Times New Roman"/>
        </w:rPr>
      </w:r>
      <w:r w:rsidRPr="00315CDF">
        <w:rPr>
          <w:lang w:val="es-ES"/>
        </w:rPr>
        <w:fldChar w:fldCharType="separate"/>
      </w:r>
      <w:r w:rsidRPr="00315CDF">
        <w:rPr>
          <w:lang w:val="es-ES"/>
        </w:rPr>
        <w:t>8</w:t>
      </w:r>
      <w:r w:rsidRPr="00315CDF">
        <w:rPr>
          <w:lang w:val="es-ES"/>
        </w:rPr>
        <w:fldChar w:fldCharType="end"/>
      </w:r>
    </w:p>
    <w:p w:rsidR="002C5374" w:rsidRDefault="002C5374">
      <w:pPr>
        <w:pStyle w:val="TOC2"/>
        <w:rPr>
          <w:rFonts w:cs="Times New Roman"/>
          <w:caps w:val="0"/>
          <w:noProof/>
          <w:lang w:val="es-ES" w:eastAsia="es-ES"/>
        </w:rPr>
      </w:pPr>
      <w:r w:rsidRPr="00FC6384">
        <w:rPr>
          <w:noProof/>
          <w:lang w:val="es-ES"/>
        </w:rPr>
        <w:t>3.1</w:t>
      </w:r>
      <w:r>
        <w:rPr>
          <w:rFonts w:cs="Times New Roman"/>
          <w:caps w:val="0"/>
          <w:noProof/>
          <w:lang w:val="es-ES" w:eastAsia="es-ES"/>
        </w:rPr>
        <w:tab/>
      </w:r>
      <w:r w:rsidRPr="00FC6384">
        <w:rPr>
          <w:noProof/>
          <w:lang w:val="es-ES"/>
        </w:rPr>
        <w:t>ENTREVISTAS Y REUNIONES CON LOS AGENTES RELACIONADOS CON EL INCIDENTE</w:t>
      </w:r>
      <w:r w:rsidRPr="00315CDF">
        <w:rPr>
          <w:rFonts w:cs="Times New Roman"/>
          <w:noProof/>
          <w:lang w:val="es-ES"/>
        </w:rPr>
        <w:tab/>
      </w:r>
      <w:r w:rsidRPr="00315CDF">
        <w:rPr>
          <w:noProof/>
          <w:lang w:val="es-ES"/>
        </w:rPr>
        <w:fldChar w:fldCharType="begin"/>
      </w:r>
      <w:r w:rsidRPr="00315CDF">
        <w:rPr>
          <w:noProof/>
          <w:lang w:val="es-ES"/>
        </w:rPr>
        <w:instrText xml:space="preserve"> PAGEREF _Toc444607431 \h </w:instrText>
      </w:r>
      <w:r>
        <w:rPr>
          <w:rFonts w:cs="Times New Roman"/>
          <w:noProof/>
        </w:rPr>
      </w:r>
      <w:r w:rsidRPr="00315CDF">
        <w:rPr>
          <w:noProof/>
          <w:lang w:val="es-ES"/>
        </w:rPr>
        <w:fldChar w:fldCharType="separate"/>
      </w:r>
      <w:r w:rsidRPr="00315CDF">
        <w:rPr>
          <w:noProof/>
          <w:lang w:val="es-ES"/>
        </w:rPr>
        <w:t>9</w:t>
      </w:r>
      <w:r w:rsidRPr="00315CDF">
        <w:rPr>
          <w:noProof/>
          <w:lang w:val="es-ES"/>
        </w:rPr>
        <w:fldChar w:fldCharType="end"/>
      </w:r>
    </w:p>
    <w:p w:rsidR="002C5374" w:rsidRDefault="002C5374">
      <w:pPr>
        <w:pStyle w:val="TOC2"/>
        <w:rPr>
          <w:rFonts w:cs="Times New Roman"/>
          <w:caps w:val="0"/>
          <w:noProof/>
          <w:lang w:val="es-ES" w:eastAsia="es-ES"/>
        </w:rPr>
      </w:pPr>
      <w:r w:rsidRPr="00FC6384">
        <w:rPr>
          <w:noProof/>
          <w:lang w:val="es-ES"/>
        </w:rPr>
        <w:t>3.2</w:t>
      </w:r>
      <w:r>
        <w:rPr>
          <w:rFonts w:cs="Times New Roman"/>
          <w:caps w:val="0"/>
          <w:noProof/>
          <w:lang w:val="es-ES" w:eastAsia="es-ES"/>
        </w:rPr>
        <w:tab/>
      </w:r>
      <w:r w:rsidRPr="00FC6384">
        <w:rPr>
          <w:noProof/>
          <w:lang w:val="es-ES"/>
        </w:rPr>
        <w:t>DOCUMENTACIÓN TÉCNICA ADICIONAL</w:t>
      </w:r>
      <w:r w:rsidRPr="00315CDF">
        <w:rPr>
          <w:rFonts w:cs="Times New Roman"/>
          <w:noProof/>
          <w:lang w:val="es-ES"/>
        </w:rPr>
        <w:tab/>
      </w:r>
      <w:r w:rsidRPr="00315CDF">
        <w:rPr>
          <w:noProof/>
          <w:lang w:val="es-ES"/>
        </w:rPr>
        <w:fldChar w:fldCharType="begin"/>
      </w:r>
      <w:r w:rsidRPr="00315CDF">
        <w:rPr>
          <w:noProof/>
          <w:lang w:val="es-ES"/>
        </w:rPr>
        <w:instrText xml:space="preserve"> PAGEREF _Toc444607432 \h </w:instrText>
      </w:r>
      <w:r>
        <w:rPr>
          <w:rFonts w:cs="Times New Roman"/>
          <w:noProof/>
        </w:rPr>
      </w:r>
      <w:r w:rsidRPr="00315CDF">
        <w:rPr>
          <w:noProof/>
          <w:lang w:val="es-ES"/>
        </w:rPr>
        <w:fldChar w:fldCharType="separate"/>
      </w:r>
      <w:r w:rsidRPr="00315CDF">
        <w:rPr>
          <w:noProof/>
          <w:lang w:val="es-ES"/>
        </w:rPr>
        <w:t>9</w:t>
      </w:r>
      <w:r w:rsidRPr="00315CDF">
        <w:rPr>
          <w:noProof/>
          <w:lang w:val="es-ES"/>
        </w:rPr>
        <w:fldChar w:fldCharType="end"/>
      </w:r>
    </w:p>
    <w:p w:rsidR="002C5374" w:rsidRDefault="002C5374">
      <w:pPr>
        <w:pStyle w:val="TOC2"/>
        <w:rPr>
          <w:rFonts w:cs="Times New Roman"/>
          <w:caps w:val="0"/>
          <w:noProof/>
          <w:lang w:val="es-ES" w:eastAsia="es-ES"/>
        </w:rPr>
      </w:pPr>
      <w:r w:rsidRPr="00FC6384">
        <w:rPr>
          <w:noProof/>
          <w:lang w:val="es-ES"/>
        </w:rPr>
        <w:t>3.3</w:t>
      </w:r>
      <w:r>
        <w:rPr>
          <w:rFonts w:cs="Times New Roman"/>
          <w:caps w:val="0"/>
          <w:noProof/>
          <w:lang w:val="es-ES" w:eastAsia="es-ES"/>
        </w:rPr>
        <w:tab/>
      </w:r>
      <w:r w:rsidRPr="00FC6384">
        <w:rPr>
          <w:noProof/>
          <w:lang w:val="es-ES"/>
        </w:rPr>
        <w:t>SIMULACIÓN DEL FUNCIONAMIENTO HIDRÁULICO DEL SECTOR</w:t>
      </w:r>
      <w:r w:rsidRPr="00315CDF">
        <w:rPr>
          <w:rFonts w:cs="Times New Roman"/>
          <w:noProof/>
          <w:lang w:val="es-ES"/>
        </w:rPr>
        <w:tab/>
      </w:r>
      <w:r w:rsidRPr="00315CDF">
        <w:rPr>
          <w:noProof/>
          <w:lang w:val="es-ES"/>
        </w:rPr>
        <w:fldChar w:fldCharType="begin"/>
      </w:r>
      <w:r w:rsidRPr="00315CDF">
        <w:rPr>
          <w:noProof/>
          <w:lang w:val="es-ES"/>
        </w:rPr>
        <w:instrText xml:space="preserve"> PAGEREF _Toc444607433 \h </w:instrText>
      </w:r>
      <w:r>
        <w:rPr>
          <w:rFonts w:cs="Times New Roman"/>
          <w:noProof/>
        </w:rPr>
      </w:r>
      <w:r w:rsidRPr="00315CDF">
        <w:rPr>
          <w:noProof/>
          <w:lang w:val="es-ES"/>
        </w:rPr>
        <w:fldChar w:fldCharType="separate"/>
      </w:r>
      <w:r w:rsidRPr="00315CDF">
        <w:rPr>
          <w:noProof/>
          <w:lang w:val="es-ES"/>
        </w:rPr>
        <w:t>9</w:t>
      </w:r>
      <w:r w:rsidRPr="00315CDF">
        <w:rPr>
          <w:noProof/>
          <w:lang w:val="es-ES"/>
        </w:rPr>
        <w:fldChar w:fldCharType="end"/>
      </w:r>
    </w:p>
    <w:p w:rsidR="002C5374" w:rsidRDefault="002C5374">
      <w:pPr>
        <w:pStyle w:val="TOC1"/>
        <w:rPr>
          <w:rFonts w:cs="Times New Roman"/>
          <w:b w:val="0"/>
          <w:bCs w:val="0"/>
          <w:caps w:val="0"/>
          <w:lang w:val="es-ES" w:eastAsia="es-ES"/>
        </w:rPr>
      </w:pPr>
      <w:r w:rsidRPr="00FC6384">
        <w:rPr>
          <w:lang w:val="es-ES"/>
        </w:rPr>
        <w:t>4</w:t>
      </w:r>
      <w:r>
        <w:rPr>
          <w:rFonts w:cs="Times New Roman"/>
          <w:b w:val="0"/>
          <w:bCs w:val="0"/>
          <w:caps w:val="0"/>
          <w:lang w:val="es-ES" w:eastAsia="es-ES"/>
        </w:rPr>
        <w:tab/>
      </w:r>
      <w:r w:rsidRPr="00FC6384">
        <w:rPr>
          <w:lang w:val="es-ES"/>
        </w:rPr>
        <w:t>ANÁLISIS DE LOS DATOS DISPONIBLES</w:t>
      </w:r>
      <w:r w:rsidRPr="00315CDF">
        <w:rPr>
          <w:rFonts w:cs="Times New Roman"/>
          <w:lang w:val="es-ES"/>
        </w:rPr>
        <w:tab/>
      </w:r>
      <w:r w:rsidRPr="00315CDF">
        <w:rPr>
          <w:lang w:val="es-ES"/>
        </w:rPr>
        <w:fldChar w:fldCharType="begin"/>
      </w:r>
      <w:r w:rsidRPr="00315CDF">
        <w:rPr>
          <w:lang w:val="es-ES"/>
        </w:rPr>
        <w:instrText xml:space="preserve"> PAGEREF _Toc444607434 \h </w:instrText>
      </w:r>
      <w:r>
        <w:rPr>
          <w:rFonts w:cs="Times New Roman"/>
        </w:rPr>
      </w:r>
      <w:r w:rsidRPr="00315CDF">
        <w:rPr>
          <w:lang w:val="es-ES"/>
        </w:rPr>
        <w:fldChar w:fldCharType="separate"/>
      </w:r>
      <w:r w:rsidRPr="00315CDF">
        <w:rPr>
          <w:lang w:val="es-ES"/>
        </w:rPr>
        <w:t>9</w:t>
      </w:r>
      <w:r w:rsidRPr="00315CDF">
        <w:rPr>
          <w:lang w:val="es-ES"/>
        </w:rPr>
        <w:fldChar w:fldCharType="end"/>
      </w:r>
    </w:p>
    <w:p w:rsidR="002C5374" w:rsidRDefault="002C5374">
      <w:pPr>
        <w:pStyle w:val="TOC2"/>
        <w:rPr>
          <w:rFonts w:cs="Times New Roman"/>
          <w:caps w:val="0"/>
          <w:noProof/>
          <w:lang w:val="es-ES" w:eastAsia="es-ES"/>
        </w:rPr>
      </w:pPr>
      <w:r w:rsidRPr="00FC6384">
        <w:rPr>
          <w:noProof/>
          <w:lang w:val="es-ES"/>
        </w:rPr>
        <w:t>4.1</w:t>
      </w:r>
      <w:r>
        <w:rPr>
          <w:rFonts w:cs="Times New Roman"/>
          <w:caps w:val="0"/>
          <w:noProof/>
          <w:lang w:val="es-ES" w:eastAsia="es-ES"/>
        </w:rPr>
        <w:tab/>
      </w:r>
      <w:r w:rsidRPr="00FC6384">
        <w:rPr>
          <w:noProof/>
          <w:lang w:val="es-ES"/>
        </w:rPr>
        <w:t>NATURALEZA, ALCANCE Y FASES DEL INCIDENTE</w:t>
      </w:r>
      <w:r w:rsidRPr="00315CDF">
        <w:rPr>
          <w:rFonts w:cs="Times New Roman"/>
          <w:noProof/>
          <w:lang w:val="es-ES"/>
        </w:rPr>
        <w:tab/>
      </w:r>
      <w:r w:rsidRPr="00315CDF">
        <w:rPr>
          <w:noProof/>
          <w:lang w:val="es-ES"/>
        </w:rPr>
        <w:fldChar w:fldCharType="begin"/>
      </w:r>
      <w:r w:rsidRPr="00315CDF">
        <w:rPr>
          <w:noProof/>
          <w:lang w:val="es-ES"/>
        </w:rPr>
        <w:instrText xml:space="preserve"> PAGEREF _Toc444607435 \h </w:instrText>
      </w:r>
      <w:r>
        <w:rPr>
          <w:rFonts w:cs="Times New Roman"/>
          <w:noProof/>
        </w:rPr>
      </w:r>
      <w:r w:rsidRPr="00315CDF">
        <w:rPr>
          <w:noProof/>
          <w:lang w:val="es-ES"/>
        </w:rPr>
        <w:fldChar w:fldCharType="separate"/>
      </w:r>
      <w:r w:rsidRPr="00315CDF">
        <w:rPr>
          <w:noProof/>
          <w:lang w:val="es-ES"/>
        </w:rPr>
        <w:t>10</w:t>
      </w:r>
      <w:r w:rsidRPr="00315CDF">
        <w:rPr>
          <w:noProof/>
          <w:lang w:val="es-ES"/>
        </w:rPr>
        <w:fldChar w:fldCharType="end"/>
      </w:r>
    </w:p>
    <w:p w:rsidR="002C5374" w:rsidRDefault="002C5374">
      <w:pPr>
        <w:pStyle w:val="TOC2"/>
        <w:rPr>
          <w:rFonts w:cs="Times New Roman"/>
          <w:caps w:val="0"/>
          <w:noProof/>
          <w:lang w:val="es-ES" w:eastAsia="es-ES"/>
        </w:rPr>
      </w:pPr>
      <w:r w:rsidRPr="00FC6384">
        <w:rPr>
          <w:noProof/>
          <w:lang w:val="es-ES"/>
        </w:rPr>
        <w:t>4.2</w:t>
      </w:r>
      <w:r>
        <w:rPr>
          <w:rFonts w:cs="Times New Roman"/>
          <w:caps w:val="0"/>
          <w:noProof/>
          <w:lang w:val="es-ES" w:eastAsia="es-ES"/>
        </w:rPr>
        <w:tab/>
      </w:r>
      <w:r w:rsidRPr="00FC6384">
        <w:rPr>
          <w:noProof/>
          <w:lang w:val="es-ES"/>
        </w:rPr>
        <w:t>ANÁLISIS DE LOS ASPECTOS RELATIVOS A LA CALIDAD DEL AGUA</w:t>
      </w:r>
      <w:r w:rsidRPr="00315CDF">
        <w:rPr>
          <w:rFonts w:cs="Times New Roman"/>
          <w:noProof/>
          <w:lang w:val="es-ES"/>
        </w:rPr>
        <w:tab/>
      </w:r>
      <w:r w:rsidRPr="00315CDF">
        <w:rPr>
          <w:noProof/>
          <w:lang w:val="es-ES"/>
        </w:rPr>
        <w:fldChar w:fldCharType="begin"/>
      </w:r>
      <w:r w:rsidRPr="00315CDF">
        <w:rPr>
          <w:noProof/>
          <w:lang w:val="es-ES"/>
        </w:rPr>
        <w:instrText xml:space="preserve"> PAGEREF _Toc444607436 \h </w:instrText>
      </w:r>
      <w:r>
        <w:rPr>
          <w:rFonts w:cs="Times New Roman"/>
          <w:noProof/>
        </w:rPr>
      </w:r>
      <w:r w:rsidRPr="00315CDF">
        <w:rPr>
          <w:noProof/>
          <w:lang w:val="es-ES"/>
        </w:rPr>
        <w:fldChar w:fldCharType="separate"/>
      </w:r>
      <w:r w:rsidRPr="00315CDF">
        <w:rPr>
          <w:noProof/>
          <w:lang w:val="es-ES"/>
        </w:rPr>
        <w:t>10</w:t>
      </w:r>
      <w:r w:rsidRPr="00315CDF">
        <w:rPr>
          <w:noProof/>
          <w:lang w:val="es-ES"/>
        </w:rPr>
        <w:fldChar w:fldCharType="end"/>
      </w:r>
    </w:p>
    <w:p w:rsidR="002C5374" w:rsidRDefault="002C5374">
      <w:pPr>
        <w:pStyle w:val="TOC3"/>
        <w:rPr>
          <w:rFonts w:cs="Times New Roman"/>
          <w:noProof/>
          <w:lang w:val="es-ES" w:eastAsia="es-ES"/>
        </w:rPr>
      </w:pPr>
      <w:r w:rsidRPr="00315CDF">
        <w:rPr>
          <w:noProof/>
          <w:lang w:val="es-ES"/>
        </w:rPr>
        <w:t>4.2.1</w:t>
      </w:r>
      <w:r>
        <w:rPr>
          <w:rFonts w:cs="Times New Roman"/>
          <w:noProof/>
          <w:lang w:val="es-ES" w:eastAsia="es-ES"/>
        </w:rPr>
        <w:tab/>
      </w:r>
      <w:r w:rsidRPr="00315CDF">
        <w:rPr>
          <w:noProof/>
          <w:lang w:val="es-ES"/>
        </w:rPr>
        <w:t>RESULTADOS DEL ANÁLISIS DE LOS ASPECTOS RELATIVOS A LA CALIDAD DEL AGUA</w:t>
      </w:r>
      <w:r w:rsidRPr="00315CDF">
        <w:rPr>
          <w:noProof/>
          <w:lang w:val="es-ES"/>
        </w:rPr>
        <w:tab/>
      </w:r>
      <w:r w:rsidRPr="00315CDF">
        <w:rPr>
          <w:noProof/>
          <w:lang w:val="es-ES"/>
        </w:rPr>
        <w:fldChar w:fldCharType="begin"/>
      </w:r>
      <w:r w:rsidRPr="00315CDF">
        <w:rPr>
          <w:noProof/>
          <w:lang w:val="es-ES"/>
        </w:rPr>
        <w:instrText xml:space="preserve"> PAGEREF _Toc444607437 \h </w:instrText>
      </w:r>
      <w:r>
        <w:rPr>
          <w:rFonts w:cs="Times New Roman"/>
          <w:noProof/>
        </w:rPr>
      </w:r>
      <w:r w:rsidRPr="00315CDF">
        <w:rPr>
          <w:noProof/>
          <w:lang w:val="es-ES"/>
        </w:rPr>
        <w:fldChar w:fldCharType="separate"/>
      </w:r>
      <w:r w:rsidRPr="00315CDF">
        <w:rPr>
          <w:noProof/>
          <w:lang w:val="es-ES"/>
        </w:rPr>
        <w:t>11</w:t>
      </w:r>
      <w:r w:rsidRPr="00315CDF">
        <w:rPr>
          <w:noProof/>
          <w:lang w:val="es-ES"/>
        </w:rPr>
        <w:fldChar w:fldCharType="end"/>
      </w:r>
    </w:p>
    <w:p w:rsidR="002C5374" w:rsidRDefault="002C5374">
      <w:pPr>
        <w:pStyle w:val="TOC2"/>
        <w:rPr>
          <w:rFonts w:cs="Times New Roman"/>
          <w:caps w:val="0"/>
          <w:noProof/>
          <w:lang w:val="es-ES" w:eastAsia="es-ES"/>
        </w:rPr>
      </w:pPr>
      <w:r w:rsidRPr="00FC6384">
        <w:rPr>
          <w:noProof/>
          <w:lang w:val="es-ES"/>
        </w:rPr>
        <w:t>4.3</w:t>
      </w:r>
      <w:r>
        <w:rPr>
          <w:rFonts w:cs="Times New Roman"/>
          <w:caps w:val="0"/>
          <w:noProof/>
          <w:lang w:val="es-ES" w:eastAsia="es-ES"/>
        </w:rPr>
        <w:tab/>
      </w:r>
      <w:r w:rsidRPr="00FC6384">
        <w:rPr>
          <w:noProof/>
          <w:lang w:val="es-ES"/>
        </w:rPr>
        <w:t>ANÁLISIS DE LOS ASPECTOS RELATIVOS AL FUNCIONAMIENTO HIDRÁULICO DE LA RED</w:t>
      </w:r>
      <w:r w:rsidRPr="00315CDF">
        <w:rPr>
          <w:rFonts w:cs="Times New Roman"/>
          <w:noProof/>
          <w:lang w:val="es-ES"/>
        </w:rPr>
        <w:tab/>
      </w:r>
      <w:r w:rsidRPr="00315CDF">
        <w:rPr>
          <w:noProof/>
          <w:lang w:val="es-ES"/>
        </w:rPr>
        <w:fldChar w:fldCharType="begin"/>
      </w:r>
      <w:r w:rsidRPr="00315CDF">
        <w:rPr>
          <w:noProof/>
          <w:lang w:val="es-ES"/>
        </w:rPr>
        <w:instrText xml:space="preserve"> PAGEREF _Toc444607438 \h </w:instrText>
      </w:r>
      <w:r>
        <w:rPr>
          <w:rFonts w:cs="Times New Roman"/>
          <w:noProof/>
        </w:rPr>
      </w:r>
      <w:r w:rsidRPr="00315CDF">
        <w:rPr>
          <w:noProof/>
          <w:lang w:val="es-ES"/>
        </w:rPr>
        <w:fldChar w:fldCharType="separate"/>
      </w:r>
      <w:r w:rsidRPr="00315CDF">
        <w:rPr>
          <w:noProof/>
          <w:lang w:val="es-ES"/>
        </w:rPr>
        <w:t>11</w:t>
      </w:r>
      <w:r w:rsidRPr="00315CDF">
        <w:rPr>
          <w:noProof/>
          <w:lang w:val="es-ES"/>
        </w:rPr>
        <w:fldChar w:fldCharType="end"/>
      </w:r>
    </w:p>
    <w:p w:rsidR="002C5374" w:rsidRDefault="002C5374">
      <w:pPr>
        <w:pStyle w:val="TOC3"/>
        <w:rPr>
          <w:rFonts w:cs="Times New Roman"/>
          <w:noProof/>
          <w:lang w:val="es-ES" w:eastAsia="es-ES"/>
        </w:rPr>
      </w:pPr>
      <w:r w:rsidRPr="00315CDF">
        <w:rPr>
          <w:noProof/>
          <w:lang w:val="es-ES"/>
        </w:rPr>
        <w:t>4.3.1</w:t>
      </w:r>
      <w:r>
        <w:rPr>
          <w:rFonts w:cs="Times New Roman"/>
          <w:noProof/>
          <w:lang w:val="es-ES" w:eastAsia="es-ES"/>
        </w:rPr>
        <w:tab/>
      </w:r>
      <w:r w:rsidRPr="00315CDF">
        <w:rPr>
          <w:noProof/>
          <w:lang w:val="es-ES"/>
        </w:rPr>
        <w:t>RESULTADOS DEL ANÁLISIS DE LOS ASPECTOS RELATIVOS AL FUNCIONAMIENTO HIDRÁULICO</w:t>
      </w:r>
      <w:r w:rsidRPr="00315CDF">
        <w:rPr>
          <w:noProof/>
          <w:lang w:val="es-ES"/>
        </w:rPr>
        <w:tab/>
      </w:r>
      <w:r w:rsidRPr="00315CDF">
        <w:rPr>
          <w:noProof/>
          <w:lang w:val="es-ES"/>
        </w:rPr>
        <w:fldChar w:fldCharType="begin"/>
      </w:r>
      <w:r w:rsidRPr="00315CDF">
        <w:rPr>
          <w:noProof/>
          <w:lang w:val="es-ES"/>
        </w:rPr>
        <w:instrText xml:space="preserve"> PAGEREF _Toc444607439 \h </w:instrText>
      </w:r>
      <w:r>
        <w:rPr>
          <w:rFonts w:cs="Times New Roman"/>
          <w:noProof/>
        </w:rPr>
      </w:r>
      <w:r w:rsidRPr="00315CDF">
        <w:rPr>
          <w:noProof/>
          <w:lang w:val="es-ES"/>
        </w:rPr>
        <w:fldChar w:fldCharType="separate"/>
      </w:r>
      <w:r w:rsidRPr="00315CDF">
        <w:rPr>
          <w:noProof/>
          <w:lang w:val="es-ES"/>
        </w:rPr>
        <w:t>11</w:t>
      </w:r>
      <w:r w:rsidRPr="00315CDF">
        <w:rPr>
          <w:noProof/>
          <w:lang w:val="es-ES"/>
        </w:rPr>
        <w:fldChar w:fldCharType="end"/>
      </w:r>
    </w:p>
    <w:p w:rsidR="002C5374" w:rsidRDefault="002C5374">
      <w:pPr>
        <w:pStyle w:val="TOC2"/>
        <w:rPr>
          <w:rFonts w:cs="Times New Roman"/>
          <w:caps w:val="0"/>
          <w:noProof/>
          <w:lang w:val="es-ES" w:eastAsia="es-ES"/>
        </w:rPr>
      </w:pPr>
      <w:r w:rsidRPr="00FC6384">
        <w:rPr>
          <w:noProof/>
          <w:lang w:val="es-ES"/>
        </w:rPr>
        <w:t>4.4</w:t>
      </w:r>
      <w:r>
        <w:rPr>
          <w:rFonts w:cs="Times New Roman"/>
          <w:caps w:val="0"/>
          <w:noProof/>
          <w:lang w:val="es-ES" w:eastAsia="es-ES"/>
        </w:rPr>
        <w:tab/>
      </w:r>
      <w:r w:rsidRPr="00FC6384">
        <w:rPr>
          <w:noProof/>
          <w:lang w:val="es-ES"/>
        </w:rPr>
        <w:t>ANÁLISIS DE LOS ASPECTOS RELATIVOS A LA GESTIÓN DEL INCIDENTE</w:t>
      </w:r>
      <w:r w:rsidRPr="00315CDF">
        <w:rPr>
          <w:rFonts w:cs="Times New Roman"/>
          <w:noProof/>
          <w:lang w:val="es-ES"/>
        </w:rPr>
        <w:tab/>
      </w:r>
      <w:r w:rsidRPr="00315CDF">
        <w:rPr>
          <w:noProof/>
          <w:lang w:val="es-ES"/>
        </w:rPr>
        <w:fldChar w:fldCharType="begin"/>
      </w:r>
      <w:r w:rsidRPr="00315CDF">
        <w:rPr>
          <w:noProof/>
          <w:lang w:val="es-ES"/>
        </w:rPr>
        <w:instrText xml:space="preserve"> PAGEREF _Toc444607440 \h </w:instrText>
      </w:r>
      <w:r>
        <w:rPr>
          <w:rFonts w:cs="Times New Roman"/>
          <w:noProof/>
        </w:rPr>
      </w:r>
      <w:r w:rsidRPr="00315CDF">
        <w:rPr>
          <w:noProof/>
          <w:lang w:val="es-ES"/>
        </w:rPr>
        <w:fldChar w:fldCharType="separate"/>
      </w:r>
      <w:r w:rsidRPr="00315CDF">
        <w:rPr>
          <w:noProof/>
          <w:lang w:val="es-ES"/>
        </w:rPr>
        <w:t>12</w:t>
      </w:r>
      <w:r w:rsidRPr="00315CDF">
        <w:rPr>
          <w:noProof/>
          <w:lang w:val="es-ES"/>
        </w:rPr>
        <w:fldChar w:fldCharType="end"/>
      </w:r>
    </w:p>
    <w:p w:rsidR="002C5374" w:rsidRDefault="002C5374">
      <w:pPr>
        <w:pStyle w:val="TOC3"/>
        <w:rPr>
          <w:rFonts w:cs="Times New Roman"/>
          <w:noProof/>
          <w:lang w:val="es-ES" w:eastAsia="es-ES"/>
        </w:rPr>
      </w:pPr>
      <w:r w:rsidRPr="00315CDF">
        <w:rPr>
          <w:noProof/>
          <w:lang w:val="es-ES"/>
        </w:rPr>
        <w:t>4.4.1</w:t>
      </w:r>
      <w:r>
        <w:rPr>
          <w:rFonts w:cs="Times New Roman"/>
          <w:noProof/>
          <w:lang w:val="es-ES" w:eastAsia="es-ES"/>
        </w:rPr>
        <w:tab/>
      </w:r>
      <w:r w:rsidRPr="00315CDF">
        <w:rPr>
          <w:noProof/>
          <w:lang w:val="es-ES"/>
        </w:rPr>
        <w:t>RESULTADOS DEL ANÁLISIS DE LOS ASPECTOS RELATIVOS A LA GESTIÓN DEL INCIDENTE</w:t>
      </w:r>
      <w:r w:rsidRPr="00315CDF">
        <w:rPr>
          <w:noProof/>
          <w:lang w:val="es-ES"/>
        </w:rPr>
        <w:tab/>
      </w:r>
      <w:r w:rsidRPr="00315CDF">
        <w:rPr>
          <w:noProof/>
          <w:lang w:val="es-ES"/>
        </w:rPr>
        <w:fldChar w:fldCharType="begin"/>
      </w:r>
      <w:r w:rsidRPr="00315CDF">
        <w:rPr>
          <w:noProof/>
          <w:lang w:val="es-ES"/>
        </w:rPr>
        <w:instrText xml:space="preserve"> PAGEREF _Toc444607441 \h </w:instrText>
      </w:r>
      <w:r>
        <w:rPr>
          <w:rFonts w:cs="Times New Roman"/>
          <w:noProof/>
        </w:rPr>
      </w:r>
      <w:r w:rsidRPr="00315CDF">
        <w:rPr>
          <w:noProof/>
          <w:lang w:val="es-ES"/>
        </w:rPr>
        <w:fldChar w:fldCharType="separate"/>
      </w:r>
      <w:r w:rsidRPr="00315CDF">
        <w:rPr>
          <w:noProof/>
          <w:lang w:val="es-ES"/>
        </w:rPr>
        <w:t>12</w:t>
      </w:r>
      <w:r w:rsidRPr="00315CDF">
        <w:rPr>
          <w:noProof/>
          <w:lang w:val="es-ES"/>
        </w:rPr>
        <w:fldChar w:fldCharType="end"/>
      </w:r>
    </w:p>
    <w:p w:rsidR="002C5374" w:rsidRDefault="002C5374">
      <w:pPr>
        <w:pStyle w:val="TOC2"/>
        <w:rPr>
          <w:rFonts w:cs="Times New Roman"/>
          <w:caps w:val="0"/>
          <w:noProof/>
          <w:lang w:val="es-ES" w:eastAsia="es-ES"/>
        </w:rPr>
      </w:pPr>
      <w:r w:rsidRPr="00FC6384">
        <w:rPr>
          <w:noProof/>
          <w:lang w:val="es-ES"/>
        </w:rPr>
        <w:t>4.5</w:t>
      </w:r>
      <w:r>
        <w:rPr>
          <w:rFonts w:cs="Times New Roman"/>
          <w:caps w:val="0"/>
          <w:noProof/>
          <w:lang w:val="es-ES" w:eastAsia="es-ES"/>
        </w:rPr>
        <w:tab/>
      </w:r>
      <w:r w:rsidRPr="00FC6384">
        <w:rPr>
          <w:noProof/>
          <w:lang w:val="es-ES"/>
        </w:rPr>
        <w:t>ANÁLISIS DE LOS ASPECTOS RELATIVOS A LOS GASTOS E INVERSIONES OCASIONADOS POR EL INCIDENTE</w:t>
      </w:r>
      <w:r w:rsidRPr="00315CDF">
        <w:rPr>
          <w:rFonts w:cs="Times New Roman"/>
          <w:noProof/>
          <w:lang w:val="es-ES"/>
        </w:rPr>
        <w:tab/>
      </w:r>
      <w:r w:rsidRPr="00315CDF">
        <w:rPr>
          <w:noProof/>
          <w:lang w:val="es-ES"/>
        </w:rPr>
        <w:fldChar w:fldCharType="begin"/>
      </w:r>
      <w:r w:rsidRPr="00315CDF">
        <w:rPr>
          <w:noProof/>
          <w:lang w:val="es-ES"/>
        </w:rPr>
        <w:instrText xml:space="preserve"> PAGEREF _Toc444607442 \h </w:instrText>
      </w:r>
      <w:r>
        <w:rPr>
          <w:rFonts w:cs="Times New Roman"/>
          <w:noProof/>
        </w:rPr>
      </w:r>
      <w:r w:rsidRPr="00315CDF">
        <w:rPr>
          <w:noProof/>
          <w:lang w:val="es-ES"/>
        </w:rPr>
        <w:fldChar w:fldCharType="separate"/>
      </w:r>
      <w:r w:rsidRPr="00315CDF">
        <w:rPr>
          <w:noProof/>
          <w:lang w:val="es-ES"/>
        </w:rPr>
        <w:t>13</w:t>
      </w:r>
      <w:r w:rsidRPr="00315CDF">
        <w:rPr>
          <w:noProof/>
          <w:lang w:val="es-ES"/>
        </w:rPr>
        <w:fldChar w:fldCharType="end"/>
      </w:r>
    </w:p>
    <w:p w:rsidR="002C5374" w:rsidRDefault="002C5374">
      <w:pPr>
        <w:pStyle w:val="TOC3"/>
        <w:rPr>
          <w:rFonts w:cs="Times New Roman"/>
          <w:noProof/>
          <w:lang w:val="es-ES" w:eastAsia="es-ES"/>
        </w:rPr>
      </w:pPr>
      <w:r w:rsidRPr="00315CDF">
        <w:rPr>
          <w:noProof/>
          <w:lang w:val="es-ES"/>
        </w:rPr>
        <w:t>4.5.1</w:t>
      </w:r>
      <w:r>
        <w:rPr>
          <w:rFonts w:cs="Times New Roman"/>
          <w:noProof/>
          <w:lang w:val="es-ES" w:eastAsia="es-ES"/>
        </w:rPr>
        <w:tab/>
      </w:r>
      <w:r w:rsidRPr="00315CDF">
        <w:rPr>
          <w:noProof/>
          <w:lang w:val="es-ES"/>
        </w:rPr>
        <w:t>RESULTADO DEL ANÁLISIS ECONÓMICO.</w:t>
      </w:r>
      <w:r w:rsidRPr="00315CDF">
        <w:rPr>
          <w:noProof/>
          <w:lang w:val="es-ES"/>
        </w:rPr>
        <w:tab/>
      </w:r>
      <w:r w:rsidRPr="00315CDF">
        <w:rPr>
          <w:noProof/>
          <w:lang w:val="es-ES"/>
        </w:rPr>
        <w:fldChar w:fldCharType="begin"/>
      </w:r>
      <w:r w:rsidRPr="00315CDF">
        <w:rPr>
          <w:noProof/>
          <w:lang w:val="es-ES"/>
        </w:rPr>
        <w:instrText xml:space="preserve"> PAGEREF _Toc444607443 \h </w:instrText>
      </w:r>
      <w:r>
        <w:rPr>
          <w:rFonts w:cs="Times New Roman"/>
          <w:noProof/>
        </w:rPr>
      </w:r>
      <w:r w:rsidRPr="00315CDF">
        <w:rPr>
          <w:noProof/>
          <w:lang w:val="es-ES"/>
        </w:rPr>
        <w:fldChar w:fldCharType="separate"/>
      </w:r>
      <w:r w:rsidRPr="00315CDF">
        <w:rPr>
          <w:noProof/>
          <w:lang w:val="es-ES"/>
        </w:rPr>
        <w:t>13</w:t>
      </w:r>
      <w:r w:rsidRPr="00315CDF">
        <w:rPr>
          <w:noProof/>
          <w:lang w:val="es-ES"/>
        </w:rPr>
        <w:fldChar w:fldCharType="end"/>
      </w:r>
    </w:p>
    <w:p w:rsidR="002C5374" w:rsidRDefault="002C5374">
      <w:pPr>
        <w:pStyle w:val="TOC1"/>
        <w:rPr>
          <w:rFonts w:cs="Times New Roman"/>
          <w:b w:val="0"/>
          <w:bCs w:val="0"/>
          <w:caps w:val="0"/>
          <w:lang w:val="es-ES" w:eastAsia="es-ES"/>
        </w:rPr>
      </w:pPr>
      <w:r w:rsidRPr="00FC6384">
        <w:rPr>
          <w:lang w:val="es-ES"/>
        </w:rPr>
        <w:t>5</w:t>
      </w:r>
      <w:r>
        <w:rPr>
          <w:rFonts w:cs="Times New Roman"/>
          <w:b w:val="0"/>
          <w:bCs w:val="0"/>
          <w:caps w:val="0"/>
          <w:lang w:val="es-ES" w:eastAsia="es-ES"/>
        </w:rPr>
        <w:tab/>
      </w:r>
      <w:r w:rsidRPr="00FC6384">
        <w:rPr>
          <w:lang w:val="es-ES"/>
        </w:rPr>
        <w:t>VALORACIÓN DEL ANÁLISIS</w:t>
      </w:r>
      <w:r w:rsidRPr="00315CDF">
        <w:rPr>
          <w:rFonts w:cs="Times New Roman"/>
          <w:lang w:val="es-ES"/>
        </w:rPr>
        <w:tab/>
      </w:r>
      <w:r w:rsidRPr="00315CDF">
        <w:rPr>
          <w:lang w:val="es-ES"/>
        </w:rPr>
        <w:fldChar w:fldCharType="begin"/>
      </w:r>
      <w:r w:rsidRPr="00315CDF">
        <w:rPr>
          <w:lang w:val="es-ES"/>
        </w:rPr>
        <w:instrText xml:space="preserve"> PAGEREF _Toc444607444 \h </w:instrText>
      </w:r>
      <w:r>
        <w:rPr>
          <w:rFonts w:cs="Times New Roman"/>
        </w:rPr>
      </w:r>
      <w:r w:rsidRPr="00315CDF">
        <w:rPr>
          <w:lang w:val="es-ES"/>
        </w:rPr>
        <w:fldChar w:fldCharType="separate"/>
      </w:r>
      <w:r w:rsidRPr="00315CDF">
        <w:rPr>
          <w:lang w:val="es-ES"/>
        </w:rPr>
        <w:t>14</w:t>
      </w:r>
      <w:r w:rsidRPr="00315CDF">
        <w:rPr>
          <w:lang w:val="es-ES"/>
        </w:rPr>
        <w:fldChar w:fldCharType="end"/>
      </w:r>
    </w:p>
    <w:p w:rsidR="002C5374" w:rsidRDefault="002C5374">
      <w:pPr>
        <w:pStyle w:val="TOC2"/>
        <w:rPr>
          <w:rFonts w:cs="Times New Roman"/>
          <w:caps w:val="0"/>
          <w:noProof/>
          <w:lang w:val="es-ES" w:eastAsia="es-ES"/>
        </w:rPr>
      </w:pPr>
      <w:r w:rsidRPr="00FC6384">
        <w:rPr>
          <w:noProof/>
          <w:lang w:val="es-ES"/>
        </w:rPr>
        <w:t>5.1</w:t>
      </w:r>
      <w:r>
        <w:rPr>
          <w:rFonts w:cs="Times New Roman"/>
          <w:caps w:val="0"/>
          <w:noProof/>
          <w:lang w:val="es-ES" w:eastAsia="es-ES"/>
        </w:rPr>
        <w:tab/>
      </w:r>
      <w:r w:rsidRPr="00FC6384">
        <w:rPr>
          <w:noProof/>
          <w:lang w:val="es-ES"/>
        </w:rPr>
        <w:t>VALORACIÓN DE LAS HIPÓTESIS ACERCA DE LAS CAUSAS DEL INCIDENTE</w:t>
      </w:r>
      <w:r w:rsidRPr="00315CDF">
        <w:rPr>
          <w:rFonts w:cs="Times New Roman"/>
          <w:noProof/>
          <w:lang w:val="es-ES"/>
        </w:rPr>
        <w:tab/>
      </w:r>
      <w:r w:rsidRPr="00315CDF">
        <w:rPr>
          <w:noProof/>
          <w:lang w:val="es-ES"/>
        </w:rPr>
        <w:fldChar w:fldCharType="begin"/>
      </w:r>
      <w:r w:rsidRPr="00315CDF">
        <w:rPr>
          <w:noProof/>
          <w:lang w:val="es-ES"/>
        </w:rPr>
        <w:instrText xml:space="preserve"> PAGEREF _Toc444607445 \h </w:instrText>
      </w:r>
      <w:r>
        <w:rPr>
          <w:rFonts w:cs="Times New Roman"/>
          <w:noProof/>
        </w:rPr>
      </w:r>
      <w:r w:rsidRPr="00315CDF">
        <w:rPr>
          <w:noProof/>
          <w:lang w:val="es-ES"/>
        </w:rPr>
        <w:fldChar w:fldCharType="separate"/>
      </w:r>
      <w:r w:rsidRPr="00315CDF">
        <w:rPr>
          <w:noProof/>
          <w:lang w:val="es-ES"/>
        </w:rPr>
        <w:t>15</w:t>
      </w:r>
      <w:r w:rsidRPr="00315CDF">
        <w:rPr>
          <w:noProof/>
          <w:lang w:val="es-ES"/>
        </w:rPr>
        <w:fldChar w:fldCharType="end"/>
      </w:r>
    </w:p>
    <w:p w:rsidR="002C5374" w:rsidRDefault="002C5374">
      <w:pPr>
        <w:pStyle w:val="TOC2"/>
        <w:rPr>
          <w:rFonts w:cs="Times New Roman"/>
          <w:caps w:val="0"/>
          <w:noProof/>
          <w:lang w:val="es-ES" w:eastAsia="es-ES"/>
        </w:rPr>
      </w:pPr>
      <w:r w:rsidRPr="00FC6384">
        <w:rPr>
          <w:noProof/>
          <w:lang w:val="es-ES"/>
        </w:rPr>
        <w:t>5.2</w:t>
      </w:r>
      <w:r>
        <w:rPr>
          <w:rFonts w:cs="Times New Roman"/>
          <w:caps w:val="0"/>
          <w:noProof/>
          <w:lang w:val="es-ES" w:eastAsia="es-ES"/>
        </w:rPr>
        <w:tab/>
      </w:r>
      <w:r w:rsidRPr="00FC6384">
        <w:rPr>
          <w:noProof/>
          <w:lang w:val="es-ES"/>
        </w:rPr>
        <w:t>RESUMEN DE LA VALORACIÓN DE LAS CAUSAS DEL INCIDENTE</w:t>
      </w:r>
      <w:r w:rsidRPr="00315CDF">
        <w:rPr>
          <w:rFonts w:cs="Times New Roman"/>
          <w:noProof/>
          <w:lang w:val="es-ES"/>
        </w:rPr>
        <w:tab/>
      </w:r>
      <w:r w:rsidRPr="00315CDF">
        <w:rPr>
          <w:noProof/>
          <w:lang w:val="es-ES"/>
        </w:rPr>
        <w:fldChar w:fldCharType="begin"/>
      </w:r>
      <w:r w:rsidRPr="00315CDF">
        <w:rPr>
          <w:noProof/>
          <w:lang w:val="es-ES"/>
        </w:rPr>
        <w:instrText xml:space="preserve"> PAGEREF _Toc444607446 \h </w:instrText>
      </w:r>
      <w:r>
        <w:rPr>
          <w:rFonts w:cs="Times New Roman"/>
          <w:noProof/>
        </w:rPr>
      </w:r>
      <w:r w:rsidRPr="00315CDF">
        <w:rPr>
          <w:noProof/>
          <w:lang w:val="es-ES"/>
        </w:rPr>
        <w:fldChar w:fldCharType="separate"/>
      </w:r>
      <w:r w:rsidRPr="00315CDF">
        <w:rPr>
          <w:noProof/>
          <w:lang w:val="es-ES"/>
        </w:rPr>
        <w:t>15</w:t>
      </w:r>
      <w:r w:rsidRPr="00315CDF">
        <w:rPr>
          <w:noProof/>
          <w:lang w:val="es-ES"/>
        </w:rPr>
        <w:fldChar w:fldCharType="end"/>
      </w:r>
    </w:p>
    <w:p w:rsidR="002C5374" w:rsidRDefault="002C5374">
      <w:pPr>
        <w:pStyle w:val="TOC2"/>
        <w:rPr>
          <w:rFonts w:cs="Times New Roman"/>
          <w:caps w:val="0"/>
          <w:noProof/>
          <w:lang w:val="es-ES" w:eastAsia="es-ES"/>
        </w:rPr>
      </w:pPr>
      <w:r w:rsidRPr="00FC6384">
        <w:rPr>
          <w:noProof/>
          <w:lang w:val="es-ES"/>
        </w:rPr>
        <w:t>5.3</w:t>
      </w:r>
      <w:r>
        <w:rPr>
          <w:rFonts w:cs="Times New Roman"/>
          <w:caps w:val="0"/>
          <w:noProof/>
          <w:lang w:val="es-ES" w:eastAsia="es-ES"/>
        </w:rPr>
        <w:tab/>
      </w:r>
      <w:r w:rsidRPr="00FC6384">
        <w:rPr>
          <w:noProof/>
          <w:lang w:val="es-ES"/>
        </w:rPr>
        <w:t>VALORACIÓN DE LA GESTIÓN DEL INCIDENTE</w:t>
      </w:r>
      <w:r w:rsidRPr="00315CDF">
        <w:rPr>
          <w:rFonts w:cs="Times New Roman"/>
          <w:noProof/>
          <w:lang w:val="es-ES"/>
        </w:rPr>
        <w:tab/>
      </w:r>
      <w:r w:rsidRPr="00315CDF">
        <w:rPr>
          <w:noProof/>
          <w:lang w:val="es-ES"/>
        </w:rPr>
        <w:fldChar w:fldCharType="begin"/>
      </w:r>
      <w:r w:rsidRPr="00315CDF">
        <w:rPr>
          <w:noProof/>
          <w:lang w:val="es-ES"/>
        </w:rPr>
        <w:instrText xml:space="preserve"> PAGEREF _Toc444607447 \h </w:instrText>
      </w:r>
      <w:r>
        <w:rPr>
          <w:rFonts w:cs="Times New Roman"/>
          <w:noProof/>
        </w:rPr>
      </w:r>
      <w:r w:rsidRPr="00315CDF">
        <w:rPr>
          <w:noProof/>
          <w:lang w:val="es-ES"/>
        </w:rPr>
        <w:fldChar w:fldCharType="separate"/>
      </w:r>
      <w:r w:rsidRPr="00315CDF">
        <w:rPr>
          <w:noProof/>
          <w:lang w:val="es-ES"/>
        </w:rPr>
        <w:t>17</w:t>
      </w:r>
      <w:r w:rsidRPr="00315CDF">
        <w:rPr>
          <w:noProof/>
          <w:lang w:val="es-ES"/>
        </w:rPr>
        <w:fldChar w:fldCharType="end"/>
      </w:r>
    </w:p>
    <w:p w:rsidR="002C5374" w:rsidRDefault="002C5374">
      <w:pPr>
        <w:pStyle w:val="TOC1"/>
        <w:rPr>
          <w:rFonts w:cs="Times New Roman"/>
          <w:b w:val="0"/>
          <w:bCs w:val="0"/>
          <w:caps w:val="0"/>
          <w:lang w:val="es-ES" w:eastAsia="es-ES"/>
        </w:rPr>
      </w:pPr>
      <w:r w:rsidRPr="00FC6384">
        <w:rPr>
          <w:lang w:val="es-ES"/>
        </w:rPr>
        <w:t>6</w:t>
      </w:r>
      <w:r>
        <w:rPr>
          <w:rFonts w:cs="Times New Roman"/>
          <w:b w:val="0"/>
          <w:bCs w:val="0"/>
          <w:caps w:val="0"/>
          <w:lang w:val="es-ES" w:eastAsia="es-ES"/>
        </w:rPr>
        <w:tab/>
      </w:r>
      <w:r w:rsidRPr="00FC6384">
        <w:rPr>
          <w:lang w:val="es-ES"/>
        </w:rPr>
        <w:t>CONSIDERACIONES Y COMENTARIOS</w:t>
      </w:r>
      <w:r w:rsidRPr="00315CDF">
        <w:rPr>
          <w:rFonts w:cs="Times New Roman"/>
          <w:lang w:val="es-ES"/>
        </w:rPr>
        <w:tab/>
      </w:r>
      <w:r w:rsidRPr="00315CDF">
        <w:rPr>
          <w:lang w:val="es-ES"/>
        </w:rPr>
        <w:fldChar w:fldCharType="begin"/>
      </w:r>
      <w:r w:rsidRPr="00315CDF">
        <w:rPr>
          <w:lang w:val="es-ES"/>
        </w:rPr>
        <w:instrText xml:space="preserve"> PAGEREF _Toc444607448 \h </w:instrText>
      </w:r>
      <w:r>
        <w:rPr>
          <w:rFonts w:cs="Times New Roman"/>
        </w:rPr>
      </w:r>
      <w:r w:rsidRPr="00315CDF">
        <w:rPr>
          <w:lang w:val="es-ES"/>
        </w:rPr>
        <w:fldChar w:fldCharType="separate"/>
      </w:r>
      <w:r w:rsidRPr="00315CDF">
        <w:rPr>
          <w:lang w:val="es-ES"/>
        </w:rPr>
        <w:t>18</w:t>
      </w:r>
      <w:r w:rsidRPr="00315CDF">
        <w:rPr>
          <w:lang w:val="es-ES"/>
        </w:rPr>
        <w:fldChar w:fldCharType="end"/>
      </w:r>
    </w:p>
    <w:p w:rsidR="002C5374" w:rsidRDefault="002C5374">
      <w:pPr>
        <w:pStyle w:val="TOC1"/>
        <w:rPr>
          <w:rFonts w:cs="Times New Roman"/>
          <w:b w:val="0"/>
          <w:bCs w:val="0"/>
          <w:caps w:val="0"/>
          <w:lang w:val="es-ES" w:eastAsia="es-ES"/>
        </w:rPr>
      </w:pPr>
      <w:r w:rsidRPr="00FC6384">
        <w:rPr>
          <w:lang w:val="es-ES"/>
        </w:rPr>
        <w:t>7</w:t>
      </w:r>
      <w:r>
        <w:rPr>
          <w:rFonts w:cs="Times New Roman"/>
          <w:b w:val="0"/>
          <w:bCs w:val="0"/>
          <w:caps w:val="0"/>
          <w:lang w:val="es-ES" w:eastAsia="es-ES"/>
        </w:rPr>
        <w:tab/>
      </w:r>
      <w:r w:rsidRPr="00FC6384">
        <w:rPr>
          <w:lang w:val="es-ES"/>
        </w:rPr>
        <w:t>CONCLUSIONES</w:t>
      </w:r>
      <w:r w:rsidRPr="00315CDF">
        <w:rPr>
          <w:rFonts w:cs="Times New Roman"/>
          <w:lang w:val="es-ES"/>
        </w:rPr>
        <w:tab/>
      </w:r>
      <w:r w:rsidRPr="00315CDF">
        <w:rPr>
          <w:lang w:val="es-ES"/>
        </w:rPr>
        <w:fldChar w:fldCharType="begin"/>
      </w:r>
      <w:r w:rsidRPr="00315CDF">
        <w:rPr>
          <w:lang w:val="es-ES"/>
        </w:rPr>
        <w:instrText xml:space="preserve"> PAGEREF _Toc444607449 \h </w:instrText>
      </w:r>
      <w:r>
        <w:rPr>
          <w:rFonts w:cs="Times New Roman"/>
        </w:rPr>
      </w:r>
      <w:r w:rsidRPr="00315CDF">
        <w:rPr>
          <w:lang w:val="es-ES"/>
        </w:rPr>
        <w:fldChar w:fldCharType="separate"/>
      </w:r>
      <w:r w:rsidRPr="00315CDF">
        <w:rPr>
          <w:lang w:val="es-ES"/>
        </w:rPr>
        <w:t>19</w:t>
      </w:r>
      <w:r w:rsidRPr="00315CDF">
        <w:rPr>
          <w:lang w:val="es-ES"/>
        </w:rPr>
        <w:fldChar w:fldCharType="end"/>
      </w:r>
    </w:p>
    <w:p w:rsidR="002C5374" w:rsidRDefault="002C5374">
      <w:pPr>
        <w:pStyle w:val="TOC1"/>
        <w:rPr>
          <w:rFonts w:cs="Times New Roman"/>
          <w:b w:val="0"/>
          <w:bCs w:val="0"/>
          <w:caps w:val="0"/>
          <w:lang w:val="es-ES" w:eastAsia="es-ES"/>
        </w:rPr>
      </w:pPr>
      <w:r w:rsidRPr="00FC6384">
        <w:rPr>
          <w:lang w:val="es-ES"/>
        </w:rPr>
        <w:t>8</w:t>
      </w:r>
      <w:r>
        <w:rPr>
          <w:rFonts w:cs="Times New Roman"/>
          <w:b w:val="0"/>
          <w:bCs w:val="0"/>
          <w:caps w:val="0"/>
          <w:lang w:val="es-ES" w:eastAsia="es-ES"/>
        </w:rPr>
        <w:tab/>
      </w:r>
      <w:r w:rsidRPr="00FC6384">
        <w:rPr>
          <w:lang w:val="es-ES"/>
        </w:rPr>
        <w:t>RECOMENDACIONES</w:t>
      </w:r>
      <w:r w:rsidRPr="00315CDF">
        <w:rPr>
          <w:rFonts w:cs="Times New Roman"/>
          <w:lang w:val="es-ES"/>
        </w:rPr>
        <w:tab/>
      </w:r>
      <w:r w:rsidRPr="00315CDF">
        <w:rPr>
          <w:lang w:val="es-ES"/>
        </w:rPr>
        <w:fldChar w:fldCharType="begin"/>
      </w:r>
      <w:r w:rsidRPr="00315CDF">
        <w:rPr>
          <w:lang w:val="es-ES"/>
        </w:rPr>
        <w:instrText xml:space="preserve"> PAGEREF _Toc444607450 \h </w:instrText>
      </w:r>
      <w:r>
        <w:rPr>
          <w:rFonts w:cs="Times New Roman"/>
        </w:rPr>
      </w:r>
      <w:r w:rsidRPr="00315CDF">
        <w:rPr>
          <w:lang w:val="es-ES"/>
        </w:rPr>
        <w:fldChar w:fldCharType="separate"/>
      </w:r>
      <w:r w:rsidRPr="00315CDF">
        <w:rPr>
          <w:lang w:val="es-ES"/>
        </w:rPr>
        <w:t>20</w:t>
      </w:r>
      <w:r w:rsidRPr="00315CDF">
        <w:rPr>
          <w:lang w:val="es-ES"/>
        </w:rPr>
        <w:fldChar w:fldCharType="end"/>
      </w:r>
    </w:p>
    <w:p w:rsidR="002C5374" w:rsidRDefault="002C5374">
      <w:pPr>
        <w:pStyle w:val="TOC2"/>
        <w:rPr>
          <w:rFonts w:cs="Times New Roman"/>
          <w:caps w:val="0"/>
          <w:noProof/>
          <w:lang w:val="es-ES" w:eastAsia="es-ES"/>
        </w:rPr>
      </w:pPr>
      <w:r w:rsidRPr="00FC6384">
        <w:rPr>
          <w:noProof/>
          <w:lang w:val="es-ES"/>
        </w:rPr>
        <w:t>8.1</w:t>
      </w:r>
      <w:r>
        <w:rPr>
          <w:rFonts w:cs="Times New Roman"/>
          <w:caps w:val="0"/>
          <w:noProof/>
          <w:lang w:val="es-ES" w:eastAsia="es-ES"/>
        </w:rPr>
        <w:tab/>
      </w:r>
      <w:r w:rsidRPr="00FC6384">
        <w:rPr>
          <w:noProof/>
          <w:lang w:val="es-ES"/>
        </w:rPr>
        <w:t>RECOMENDACIONES SOBRE ACUERDOS CON LA AUTORIDAD SANITARIA</w:t>
      </w:r>
      <w:r w:rsidRPr="00315CDF">
        <w:rPr>
          <w:rFonts w:cs="Times New Roman"/>
          <w:noProof/>
          <w:lang w:val="es-ES"/>
        </w:rPr>
        <w:tab/>
      </w:r>
      <w:r w:rsidRPr="00315CDF">
        <w:rPr>
          <w:noProof/>
          <w:lang w:val="es-ES"/>
        </w:rPr>
        <w:fldChar w:fldCharType="begin"/>
      </w:r>
      <w:r w:rsidRPr="00315CDF">
        <w:rPr>
          <w:noProof/>
          <w:lang w:val="es-ES"/>
        </w:rPr>
        <w:instrText xml:space="preserve"> PAGEREF _Toc444607451 \h </w:instrText>
      </w:r>
      <w:r>
        <w:rPr>
          <w:rFonts w:cs="Times New Roman"/>
          <w:noProof/>
        </w:rPr>
      </w:r>
      <w:r w:rsidRPr="00315CDF">
        <w:rPr>
          <w:noProof/>
          <w:lang w:val="es-ES"/>
        </w:rPr>
        <w:fldChar w:fldCharType="separate"/>
      </w:r>
      <w:r w:rsidRPr="00315CDF">
        <w:rPr>
          <w:noProof/>
          <w:lang w:val="es-ES"/>
        </w:rPr>
        <w:t>20</w:t>
      </w:r>
      <w:r w:rsidRPr="00315CDF">
        <w:rPr>
          <w:noProof/>
          <w:lang w:val="es-ES"/>
        </w:rPr>
        <w:fldChar w:fldCharType="end"/>
      </w:r>
    </w:p>
    <w:p w:rsidR="002C5374" w:rsidRDefault="002C5374">
      <w:pPr>
        <w:pStyle w:val="TOC2"/>
        <w:rPr>
          <w:rFonts w:cs="Times New Roman"/>
          <w:caps w:val="0"/>
          <w:noProof/>
          <w:lang w:val="es-ES" w:eastAsia="es-ES"/>
        </w:rPr>
      </w:pPr>
      <w:r w:rsidRPr="00FC6384">
        <w:rPr>
          <w:noProof/>
          <w:lang w:val="es-ES"/>
        </w:rPr>
        <w:t>8.2</w:t>
      </w:r>
      <w:r>
        <w:rPr>
          <w:rFonts w:cs="Times New Roman"/>
          <w:caps w:val="0"/>
          <w:noProof/>
          <w:lang w:val="es-ES" w:eastAsia="es-ES"/>
        </w:rPr>
        <w:tab/>
      </w:r>
      <w:r w:rsidRPr="00FC6384">
        <w:rPr>
          <w:noProof/>
          <w:lang w:val="es-ES"/>
        </w:rPr>
        <w:t>RECOMENDACIONES SOBRE PROCEDIMIENTOS OPERATIVOS</w:t>
      </w:r>
      <w:r w:rsidRPr="00315CDF">
        <w:rPr>
          <w:rFonts w:cs="Times New Roman"/>
          <w:noProof/>
          <w:lang w:val="es-ES"/>
        </w:rPr>
        <w:tab/>
      </w:r>
      <w:r w:rsidRPr="00315CDF">
        <w:rPr>
          <w:noProof/>
          <w:lang w:val="es-ES"/>
        </w:rPr>
        <w:fldChar w:fldCharType="begin"/>
      </w:r>
      <w:r w:rsidRPr="00315CDF">
        <w:rPr>
          <w:noProof/>
          <w:lang w:val="es-ES"/>
        </w:rPr>
        <w:instrText xml:space="preserve"> PAGEREF _Toc444607452 \h </w:instrText>
      </w:r>
      <w:r>
        <w:rPr>
          <w:rFonts w:cs="Times New Roman"/>
          <w:noProof/>
        </w:rPr>
      </w:r>
      <w:r w:rsidRPr="00315CDF">
        <w:rPr>
          <w:noProof/>
          <w:lang w:val="es-ES"/>
        </w:rPr>
        <w:fldChar w:fldCharType="separate"/>
      </w:r>
      <w:r w:rsidRPr="00315CDF">
        <w:rPr>
          <w:noProof/>
          <w:lang w:val="es-ES"/>
        </w:rPr>
        <w:t>20</w:t>
      </w:r>
      <w:r w:rsidRPr="00315CDF">
        <w:rPr>
          <w:noProof/>
          <w:lang w:val="es-ES"/>
        </w:rPr>
        <w:fldChar w:fldCharType="end"/>
      </w:r>
    </w:p>
    <w:p w:rsidR="002C5374" w:rsidRDefault="002C5374">
      <w:pPr>
        <w:pStyle w:val="TOC2"/>
        <w:rPr>
          <w:rFonts w:cs="Times New Roman"/>
          <w:caps w:val="0"/>
          <w:noProof/>
          <w:lang w:val="es-ES" w:eastAsia="es-ES"/>
        </w:rPr>
      </w:pPr>
      <w:r w:rsidRPr="00FC6384">
        <w:rPr>
          <w:noProof/>
          <w:lang w:val="es-ES"/>
        </w:rPr>
        <w:t>8.3</w:t>
      </w:r>
      <w:r>
        <w:rPr>
          <w:rFonts w:cs="Times New Roman"/>
          <w:caps w:val="0"/>
          <w:noProof/>
          <w:lang w:val="es-ES" w:eastAsia="es-ES"/>
        </w:rPr>
        <w:tab/>
      </w:r>
      <w:r w:rsidRPr="00FC6384">
        <w:rPr>
          <w:noProof/>
          <w:lang w:val="es-ES"/>
        </w:rPr>
        <w:t>RECOMENDACIONES SOBRE PROCEDIMIENTOS DE GESTIÓN Y COMUNICACIÓN EN SITUACIONES DE CRISIS</w:t>
      </w:r>
      <w:r w:rsidRPr="00315CDF">
        <w:rPr>
          <w:rFonts w:cs="Times New Roman"/>
          <w:noProof/>
          <w:lang w:val="es-ES"/>
        </w:rPr>
        <w:tab/>
      </w:r>
      <w:r w:rsidRPr="00315CDF">
        <w:rPr>
          <w:noProof/>
          <w:lang w:val="es-ES"/>
        </w:rPr>
        <w:fldChar w:fldCharType="begin"/>
      </w:r>
      <w:r w:rsidRPr="00315CDF">
        <w:rPr>
          <w:noProof/>
          <w:lang w:val="es-ES"/>
        </w:rPr>
        <w:instrText xml:space="preserve"> PAGEREF _Toc444607453 \h </w:instrText>
      </w:r>
      <w:r>
        <w:rPr>
          <w:rFonts w:cs="Times New Roman"/>
          <w:noProof/>
        </w:rPr>
      </w:r>
      <w:r w:rsidRPr="00315CDF">
        <w:rPr>
          <w:noProof/>
          <w:lang w:val="es-ES"/>
        </w:rPr>
        <w:fldChar w:fldCharType="separate"/>
      </w:r>
      <w:r w:rsidRPr="00315CDF">
        <w:rPr>
          <w:noProof/>
          <w:lang w:val="es-ES"/>
        </w:rPr>
        <w:t>21</w:t>
      </w:r>
      <w:r w:rsidRPr="00315CDF">
        <w:rPr>
          <w:noProof/>
          <w:lang w:val="es-ES"/>
        </w:rPr>
        <w:fldChar w:fldCharType="end"/>
      </w:r>
    </w:p>
    <w:p w:rsidR="002C5374" w:rsidRDefault="002C5374" w:rsidP="00D54DF6">
      <w:pPr>
        <w:rPr>
          <w:rFonts w:cs="Times New Roman"/>
          <w:lang w:val="es-ES"/>
        </w:rPr>
      </w:pPr>
      <w:r w:rsidRPr="00F232DD">
        <w:rPr>
          <w:lang w:val="es-ES"/>
        </w:rPr>
        <w:fldChar w:fldCharType="end"/>
      </w:r>
    </w:p>
    <w:p w:rsidR="002C5374" w:rsidRDefault="002C5374" w:rsidP="00B0088E">
      <w:pPr>
        <w:pStyle w:val="Heading1"/>
        <w:pageBreakBefore/>
        <w:spacing w:before="0"/>
        <w:ind w:left="431" w:hanging="431"/>
        <w:rPr>
          <w:lang w:val="es-ES"/>
        </w:rPr>
      </w:pPr>
      <w:bookmarkStart w:id="2" w:name="_Toc444607425"/>
      <w:r>
        <w:rPr>
          <w:lang w:val="es-ES"/>
        </w:rPr>
        <w:t>ANTECEDENTES</w:t>
      </w:r>
      <w:bookmarkEnd w:id="2"/>
    </w:p>
    <w:p w:rsidR="002C5374" w:rsidRDefault="002C5374" w:rsidP="007F2F98">
      <w:pPr>
        <w:rPr>
          <w:lang w:val="es-ES"/>
        </w:rPr>
      </w:pPr>
      <w:r>
        <w:rPr>
          <w:lang w:val="es-ES"/>
        </w:rPr>
        <w:t>El día 29 de septiembre de 2014 se recibieron en Aguas de Cádiz avisos alertando de mal olor en el agua suministrada a las viviendas. Estos avisos procedían de vecinos de fincas situadas en el entorno de la Plaza La Fuente. Como parte de la respuesta a esta incidencia de calidad del agua, se estableció un plan especial de seguimiento que contemplaba la realización de analíticas en diversos puntos de muestreo pertenecientes al denominado ‘sector 35 Loreto’ a partir de ese mismo día.</w:t>
      </w:r>
    </w:p>
    <w:p w:rsidR="002C5374" w:rsidRDefault="002C5374" w:rsidP="007F2F98">
      <w:pPr>
        <w:rPr>
          <w:lang w:val="es-ES"/>
        </w:rPr>
      </w:pPr>
      <w:r>
        <w:rPr>
          <w:lang w:val="es-ES"/>
        </w:rPr>
        <w:t xml:space="preserve">El día 13 de octubre de 2014 Aguas de Cádiz comunica a través de la Red de Alerta en Salud Pública que en los análisis realizados el día anterior a todas las muestras recogidas en 8 puntos de muestreo del sector Loreto se obtuvieron valores de Bacterias coliformes y E. coli mayores de 150 UFC/100 ml. </w:t>
      </w:r>
    </w:p>
    <w:p w:rsidR="002C5374" w:rsidRDefault="002C5374" w:rsidP="007F2F98">
      <w:pPr>
        <w:rPr>
          <w:lang w:val="es-ES"/>
        </w:rPr>
      </w:pPr>
      <w:r>
        <w:rPr>
          <w:lang w:val="es-ES"/>
        </w:rPr>
        <w:t xml:space="preserve">El día 13 octubre Aguas de Cádiz corta el suministro a todo el sector Loreto y el día 14 de octubre la Delegación Territorial de Igualdad, Salud y Políticas Sociales emite una Resolución declarando como agua no apta para el consumo con riesgo para la salud, el agua distribuida en la zona de la Barriada de Loreto. </w:t>
      </w:r>
    </w:p>
    <w:p w:rsidR="002C5374" w:rsidRDefault="002C5374" w:rsidP="007F2F98">
      <w:pPr>
        <w:rPr>
          <w:lang w:val="es-ES"/>
        </w:rPr>
      </w:pPr>
      <w:r>
        <w:rPr>
          <w:lang w:val="es-ES"/>
        </w:rPr>
        <w:t xml:space="preserve">A partir del día 14 de octubre Aguas de Cádiz comienza la división del sector Loreto en 4 subsectores independientes a fin de acotar la investigación de las causas de los incumplimientos que llevaron a la declaración de agua no apta para el consumo. Asimismo a partir de ese día se comienzan como medida preventiva mejoras provisionales en la red instalando conducciones que sustituyen a las existentes en determinados  subsectores. </w:t>
      </w:r>
    </w:p>
    <w:p w:rsidR="002C5374" w:rsidRDefault="002C5374" w:rsidP="007F2F98">
      <w:pPr>
        <w:rPr>
          <w:lang w:val="es-ES"/>
        </w:rPr>
      </w:pPr>
      <w:r>
        <w:rPr>
          <w:lang w:val="es-ES"/>
        </w:rPr>
        <w:t>Desde el día 22 de octubre y hasta el 25 de octubre se produce el restablecimiento del servicio de abastecimiento en los 4 subsectores establecidos mediante la correspondiente Resolución de aptitud. Cada una de las cuatro resoluciones establece adicionalmente a la aptitud la necesidad de realizar análisis diarios en puntos de muestreo del subsector, así como la obligación de mantener las mejoras provisionales convirtiéndolas en definitivas y la prohibición de poner en funcionamiento los tubos sustituidos.</w:t>
      </w:r>
    </w:p>
    <w:p w:rsidR="002C5374" w:rsidRDefault="002C5374" w:rsidP="007F2F98">
      <w:pPr>
        <w:rPr>
          <w:lang w:val="es-ES"/>
        </w:rPr>
      </w:pPr>
      <w:r>
        <w:rPr>
          <w:lang w:val="es-ES"/>
        </w:rPr>
        <w:t>Dado que la normativa vigente en materia de calidad del agua atribuye al gestor del servicio la responsabilidad de determinar las causas que originaron el incumplimiento de los valores de Bacterias coliformes y E. coli, con fecha 20 de octubre, Aguas de Cádiz remite informe a la Delegación Territorial de Igualdad, Salud y Políticas Sociales en el que se detallan una serie de hechos que tienen relación con averías de instalaciones interiores que se localizan en la zona de los bloques pares de la calle Hermanos Ortiz Echagüe, y en el que ‘tomando como base’ unas circunstancias ‘que solo confluyen en dicha zona’ y ‘todos los trabajos efectuados’, se concluye que ‘Todo esto nos lleva a suponer con casi absoluta certeza que en dicha zona se originó el foco contaminante’.</w:t>
      </w:r>
    </w:p>
    <w:p w:rsidR="002C5374" w:rsidRDefault="002C5374" w:rsidP="007F2F98">
      <w:pPr>
        <w:rPr>
          <w:lang w:val="es-ES"/>
        </w:rPr>
      </w:pPr>
      <w:r>
        <w:rPr>
          <w:lang w:val="es-ES"/>
        </w:rPr>
        <w:t xml:space="preserve">Con fecha de salida 8 de abril de 2015, el Excmo. Ayuntamiento remite a Aguas de Cádiz, escrito de Dª. Rosa Guzmán Fernández, en representación de un grupo de vecinos, en el que adjunta un informe elaborado por la Delegación Territorial de Igualdad, Salud y Políticas Sociales titulado ‘Informe Aguas de Cádiz. Red de Distribución Barriada Loreto 2014’. En dicho informe, suscrito por el Jefe de Servicio de Salud Pública y por el Jefe de Sección Sanidad Ambiental, se afirma en relación con las causas del incidente declaradas por Aguas de Cádiz a la autoridad sanitaria lo siguiente: ‘Por parte de los técnicos de la autoridad sanitaria que inspeccionaron, tanto la cañería del interior de la finca, como la conducción exterior, valoraron técnicamente la propuesta, considerando poco probable esta conclusión ya que el deterioro crónico de tubería localizado en esta finca particular y las escasas fisuras del tubo de agua potable de la red, que estaba encima de la tubería de residuales, no hacía viable el generar el volumen suficiente de agua fecal y potencia de entrada en la red como para contaminar las aguas potables de toda la barriada”. </w:t>
      </w:r>
    </w:p>
    <w:p w:rsidR="002C5374" w:rsidRDefault="002C5374" w:rsidP="007F2F98">
      <w:pPr>
        <w:rPr>
          <w:lang w:val="es-ES"/>
        </w:rPr>
      </w:pPr>
      <w:r>
        <w:rPr>
          <w:lang w:val="es-ES"/>
        </w:rPr>
        <w:t>Con fecha 9 de octubre de 2015 Aguas de Cádiz solicita a la Delegación Territorial de Igualdad, Salud y Políticas Sociales la disminución de las analíticas de control que se establecieron en las resoluciones de aptitud así como indicaciones sobre el mantenimiento de los subsectores establecidos. Con fecha 20 de octubre de 2015 la Delegación Territorial de Igualdad, Salud y Políticas Sociales responde a Aguas de Cádiz mediante escrito en el que se establecen requisitos menos exigentes en cuanto a frecuencia y parámetros medidos para las analíticas de control, y en el que no se dan indicaciones respecto al mantenimiento de la subsectorización.</w:t>
      </w:r>
    </w:p>
    <w:p w:rsidR="002C5374" w:rsidRDefault="002C5374" w:rsidP="007F2F98">
      <w:pPr>
        <w:rPr>
          <w:lang w:val="es-ES"/>
        </w:rPr>
      </w:pPr>
      <w:r>
        <w:rPr>
          <w:lang w:val="es-ES"/>
        </w:rPr>
        <w:t>En atención a las dudas existentes sobre las causas del incidente descrito, así como de la gestión que de éste se realizó por parte de Aguas de Cádiz, su Presidente encarga al Director-Gerente la realización de cuantas acciones se requieran para ofrecer a los colectivos vecinales directamente afectados y a la ciudadanía en general una explicación satisfactoria de todos los interrogantes planteados.</w:t>
      </w:r>
    </w:p>
    <w:p w:rsidR="002C5374" w:rsidRDefault="002C5374" w:rsidP="007F2F98">
      <w:pPr>
        <w:rPr>
          <w:lang w:val="es-ES"/>
        </w:rPr>
      </w:pPr>
      <w:r>
        <w:rPr>
          <w:lang w:val="es-ES"/>
        </w:rPr>
        <w:t>Al objeto de dar respuesta a la encomienda recibida se crea internamente a instancias del Director-Gerente la Comisión para el Estudio y Esclarecimiento del Incidente en el Servicio de Abastecimiento de Agua al Barrio de Loreto (en adelante la comisión), con el único objetivo de estudiar y en la medida de lo posible esclarecer todos los extremos que dieron lugar al corte de suministro del Barrio de Loreto, así como las medidas que desde Aguas de Cádiz se tomaron para gestionar y solucionar la situación creada (en adelante el incidente).</w:t>
      </w:r>
    </w:p>
    <w:p w:rsidR="002C5374" w:rsidRPr="00DD6C8F" w:rsidRDefault="002C5374" w:rsidP="007F2F98">
      <w:pPr>
        <w:rPr>
          <w:lang w:val="es-ES"/>
        </w:rPr>
      </w:pPr>
      <w:r w:rsidRPr="00DD6C8F">
        <w:rPr>
          <w:lang w:val="es-ES"/>
        </w:rPr>
        <w:t xml:space="preserve">En el Pleno del Excmo. Ayuntamiento de Cádiz de fecha 18 de diciembre de 2015 se acordó “Atribuir a la Comisión Informativa de Sostenibilidad la función específica de control y fiscalización de la Empresa Municipal de Aguas de Cádiz SA, y en especial sobre las contrataciones que se hayan llevado por dicha sociedad, así como una investigación concreta sobre el corte de suministro que sufrió el barrio de Loreto al completo en octubre de 2014”.  </w:t>
      </w:r>
    </w:p>
    <w:p w:rsidR="002C5374" w:rsidRDefault="002C5374" w:rsidP="007F2F98">
      <w:pPr>
        <w:rPr>
          <w:lang w:val="es-ES"/>
        </w:rPr>
      </w:pPr>
      <w:r>
        <w:rPr>
          <w:lang w:val="es-ES"/>
        </w:rPr>
        <w:t>Los resultados de los trabajos de la comisión serán informados a la Comisión Informativa de Sostenibilidad del Excmo. Ayuntamiento de Cádiz.</w:t>
      </w:r>
    </w:p>
    <w:p w:rsidR="002C5374" w:rsidRDefault="002C5374" w:rsidP="00E9102C">
      <w:pPr>
        <w:rPr>
          <w:rFonts w:cs="Times New Roman"/>
          <w:lang w:val="es-ES"/>
        </w:rPr>
      </w:pPr>
    </w:p>
    <w:p w:rsidR="002C5374" w:rsidRPr="00711C32" w:rsidRDefault="002C5374" w:rsidP="001D6FAC">
      <w:pPr>
        <w:pStyle w:val="Heading2"/>
        <w:rPr>
          <w:rFonts w:cs="Times New Roman"/>
          <w:b w:val="0"/>
          <w:bCs w:val="0"/>
        </w:rPr>
      </w:pPr>
      <w:bookmarkStart w:id="3" w:name="_Toc444607426"/>
      <w:r>
        <w:rPr>
          <w:b w:val="0"/>
          <w:bCs w:val="0"/>
        </w:rPr>
        <w:t>COMPOSICIÓN DE LA COMISIÓN</w:t>
      </w:r>
      <w:bookmarkEnd w:id="3"/>
    </w:p>
    <w:p w:rsidR="002C5374" w:rsidRDefault="002C5374" w:rsidP="001D6FAC">
      <w:pPr>
        <w:rPr>
          <w:lang w:val="es-ES"/>
        </w:rPr>
      </w:pPr>
      <w:r>
        <w:rPr>
          <w:lang w:val="es-ES"/>
        </w:rPr>
        <w:t>La Comisión para el Estudio y Esclarecimiento del Incidente en el Servicio de Abastecimiento de Agua al Barrio de Loreto está formada por:</w:t>
      </w:r>
    </w:p>
    <w:p w:rsidR="002C5374" w:rsidRDefault="002C5374" w:rsidP="007D358E">
      <w:pPr>
        <w:pStyle w:val="ListParagraph"/>
        <w:numPr>
          <w:ilvl w:val="0"/>
          <w:numId w:val="15"/>
        </w:numPr>
        <w:rPr>
          <w:lang w:val="es-ES"/>
        </w:rPr>
      </w:pPr>
      <w:r>
        <w:rPr>
          <w:lang w:val="es-ES"/>
        </w:rPr>
        <w:t>D. Jesús Oliden Rodríguez-Sánchez. Director-Gerente</w:t>
      </w:r>
    </w:p>
    <w:p w:rsidR="002C5374" w:rsidRDefault="002C5374" w:rsidP="007D358E">
      <w:pPr>
        <w:pStyle w:val="ListParagraph"/>
        <w:numPr>
          <w:ilvl w:val="0"/>
          <w:numId w:val="15"/>
        </w:numPr>
        <w:rPr>
          <w:lang w:val="es-ES"/>
        </w:rPr>
      </w:pPr>
      <w:r>
        <w:rPr>
          <w:lang w:val="es-ES"/>
        </w:rPr>
        <w:t>D. José Antonio Campo-Cossío García. Jefe de Compras, Contratación y Almacén</w:t>
      </w:r>
    </w:p>
    <w:p w:rsidR="002C5374" w:rsidRPr="007D358E" w:rsidRDefault="002C5374" w:rsidP="007D358E">
      <w:pPr>
        <w:pStyle w:val="ListParagraph"/>
        <w:numPr>
          <w:ilvl w:val="0"/>
          <w:numId w:val="15"/>
        </w:numPr>
        <w:rPr>
          <w:rFonts w:cs="Times New Roman"/>
          <w:lang w:val="es-ES"/>
        </w:rPr>
      </w:pPr>
      <w:r>
        <w:rPr>
          <w:lang w:val="es-ES"/>
        </w:rPr>
        <w:t>D. Pedro González Díaz. Jefe de Desarrollos, Control y Sistemas</w:t>
      </w:r>
    </w:p>
    <w:p w:rsidR="002C5374" w:rsidRPr="007D358E" w:rsidRDefault="002C5374" w:rsidP="00B0088E">
      <w:pPr>
        <w:pStyle w:val="Heading2"/>
        <w:rPr>
          <w:rFonts w:cs="Times New Roman"/>
          <w:b w:val="0"/>
          <w:bCs w:val="0"/>
          <w:lang w:val="es-ES"/>
        </w:rPr>
      </w:pPr>
      <w:bookmarkStart w:id="4" w:name="_Toc444607427"/>
      <w:r w:rsidRPr="007D358E">
        <w:rPr>
          <w:b w:val="0"/>
          <w:bCs w:val="0"/>
          <w:lang w:val="es-ES"/>
        </w:rPr>
        <w:t>OBJETO DEL INFORME</w:t>
      </w:r>
      <w:r>
        <w:rPr>
          <w:b w:val="0"/>
          <w:bCs w:val="0"/>
          <w:lang w:val="es-ES"/>
        </w:rPr>
        <w:t xml:space="preserve"> Y DEL RESUMEN EJECUTIVO</w:t>
      </w:r>
      <w:bookmarkEnd w:id="4"/>
    </w:p>
    <w:p w:rsidR="002C5374" w:rsidRDefault="002C5374" w:rsidP="008820A4">
      <w:pPr>
        <w:rPr>
          <w:lang w:val="es-ES"/>
        </w:rPr>
      </w:pPr>
      <w:r>
        <w:rPr>
          <w:lang w:val="es-ES"/>
        </w:rPr>
        <w:t xml:space="preserve">El objeto del informe realizado es presentar los resultados de los trabajos realizados por la Comisión para el Estudio y Esclarecimiento del Incidente en el Servicio de Abastecimiento de Agua al Barrio de Loreto. El informe completo consta de 116 páginas y 6 tomos de anexos. </w:t>
      </w:r>
    </w:p>
    <w:p w:rsidR="002C5374" w:rsidRDefault="002C5374" w:rsidP="008820A4">
      <w:pPr>
        <w:rPr>
          <w:lang w:val="es-ES"/>
        </w:rPr>
      </w:pPr>
      <w:r>
        <w:rPr>
          <w:lang w:val="es-ES"/>
        </w:rPr>
        <w:t>El presente resumen ejecutivo recoge lo esencial del informe realizado, tiene básicamente la misma estructura del informe completo y consta de 20 páginas.</w:t>
      </w:r>
    </w:p>
    <w:p w:rsidR="002C5374" w:rsidRDefault="002C5374" w:rsidP="008820A4">
      <w:pPr>
        <w:rPr>
          <w:lang w:val="es-ES"/>
        </w:rPr>
      </w:pPr>
    </w:p>
    <w:p w:rsidR="002C5374" w:rsidRPr="00711C32" w:rsidRDefault="002C5374" w:rsidP="00B0088E">
      <w:pPr>
        <w:pStyle w:val="Heading2"/>
        <w:rPr>
          <w:b w:val="0"/>
          <w:bCs w:val="0"/>
        </w:rPr>
      </w:pPr>
      <w:bookmarkStart w:id="5" w:name="_Toc444607428"/>
      <w:r w:rsidRPr="00711C32">
        <w:rPr>
          <w:b w:val="0"/>
          <w:bCs w:val="0"/>
        </w:rPr>
        <w:t>METODOLOGÍA DE TRABAJO</w:t>
      </w:r>
      <w:bookmarkEnd w:id="5"/>
    </w:p>
    <w:p w:rsidR="002C5374" w:rsidRDefault="002C5374" w:rsidP="008820A4">
      <w:pPr>
        <w:rPr>
          <w:lang w:val="es-ES"/>
        </w:rPr>
      </w:pPr>
      <w:r>
        <w:rPr>
          <w:lang w:val="es-ES"/>
        </w:rPr>
        <w:t>La metodología de trabajo utilizada por la comisión para la consecución de los objetivosplanteados ha consistido en líneas generales en el desarrollo de las siguientes actividades:</w:t>
      </w:r>
    </w:p>
    <w:p w:rsidR="002C5374" w:rsidRDefault="002C5374" w:rsidP="00844A51">
      <w:pPr>
        <w:pStyle w:val="ListParagraph"/>
        <w:numPr>
          <w:ilvl w:val="0"/>
          <w:numId w:val="9"/>
        </w:numPr>
        <w:rPr>
          <w:lang w:val="es-ES"/>
        </w:rPr>
      </w:pPr>
      <w:r>
        <w:rPr>
          <w:lang w:val="es-ES"/>
        </w:rPr>
        <w:t>La</w:t>
      </w:r>
      <w:r w:rsidRPr="00FE028A">
        <w:rPr>
          <w:lang w:val="es-ES"/>
        </w:rPr>
        <w:t xml:space="preserve"> recopilación de la información documental obrante en Aguas de C</w:t>
      </w:r>
      <w:r>
        <w:rPr>
          <w:lang w:val="es-ES"/>
        </w:rPr>
        <w:t>ádiz en relación con el incidente</w:t>
      </w:r>
    </w:p>
    <w:p w:rsidR="002C5374" w:rsidRDefault="002C5374" w:rsidP="00844A51">
      <w:pPr>
        <w:pStyle w:val="ListParagraph"/>
        <w:numPr>
          <w:ilvl w:val="0"/>
          <w:numId w:val="9"/>
        </w:numPr>
        <w:rPr>
          <w:lang w:val="es-ES"/>
        </w:rPr>
      </w:pPr>
      <w:r>
        <w:rPr>
          <w:lang w:val="es-ES"/>
        </w:rPr>
        <w:t>La entrevista con  los agentes que tuvieron relación con el incidente</w:t>
      </w:r>
    </w:p>
    <w:p w:rsidR="002C5374" w:rsidRDefault="002C5374" w:rsidP="00844A51">
      <w:pPr>
        <w:pStyle w:val="ListParagraph"/>
        <w:numPr>
          <w:ilvl w:val="0"/>
          <w:numId w:val="9"/>
        </w:numPr>
        <w:rPr>
          <w:lang w:val="es-ES"/>
        </w:rPr>
      </w:pPr>
      <w:r>
        <w:rPr>
          <w:lang w:val="es-ES"/>
        </w:rPr>
        <w:t>El encargo de estudios adicionales encaminados a la clarificación de determinados aspectos técnicos del incidente</w:t>
      </w:r>
    </w:p>
    <w:p w:rsidR="002C5374" w:rsidRDefault="002C5374" w:rsidP="00844A51">
      <w:pPr>
        <w:pStyle w:val="ListParagraph"/>
        <w:numPr>
          <w:ilvl w:val="0"/>
          <w:numId w:val="9"/>
        </w:numPr>
        <w:rPr>
          <w:lang w:val="es-ES"/>
        </w:rPr>
      </w:pPr>
      <w:r>
        <w:rPr>
          <w:lang w:val="es-ES"/>
        </w:rPr>
        <w:t>El análisis y valoración de toda la información así recopilada</w:t>
      </w:r>
    </w:p>
    <w:p w:rsidR="002C5374" w:rsidRDefault="002C5374" w:rsidP="00844A51">
      <w:pPr>
        <w:pStyle w:val="ListParagraph"/>
        <w:numPr>
          <w:ilvl w:val="0"/>
          <w:numId w:val="9"/>
        </w:numPr>
        <w:rPr>
          <w:lang w:val="es-ES"/>
        </w:rPr>
      </w:pPr>
      <w:r>
        <w:rPr>
          <w:lang w:val="es-ES"/>
        </w:rPr>
        <w:t>La redacción del presente informe en el que se exponen los resultados y conclusiones de los trabajos realizados</w:t>
      </w:r>
    </w:p>
    <w:p w:rsidR="002C5374" w:rsidRPr="00FE028A" w:rsidRDefault="002C5374" w:rsidP="00FE028A">
      <w:pPr>
        <w:rPr>
          <w:rFonts w:cs="Times New Roman"/>
          <w:lang w:val="es-ES"/>
        </w:rPr>
      </w:pPr>
      <w:r>
        <w:rPr>
          <w:lang w:val="es-ES"/>
        </w:rPr>
        <w:t>A continuación se detallan las actividades enumeradas más arriba:</w:t>
      </w:r>
    </w:p>
    <w:p w:rsidR="002C5374" w:rsidRPr="008820A4" w:rsidRDefault="002C5374" w:rsidP="008820A4">
      <w:pPr>
        <w:rPr>
          <w:lang w:val="es-ES"/>
        </w:rPr>
      </w:pPr>
      <w:r w:rsidRPr="008820A4">
        <w:rPr>
          <w:lang w:val="es-ES"/>
        </w:rPr>
        <w:t>Con el objetivo de recopilar toda la información disponible en Aguas de Cádiz se solicitó a los departamentos que intervinieron en la gestión técnica del incidente</w:t>
      </w:r>
      <w:r>
        <w:rPr>
          <w:lang w:val="es-ES"/>
        </w:rPr>
        <w:t>,</w:t>
      </w:r>
      <w:r w:rsidRPr="008820A4">
        <w:rPr>
          <w:lang w:val="es-ES"/>
        </w:rPr>
        <w:t xml:space="preserve"> que aportasen toda la documentación relevante en relación con el objeto de la comisión. Esta documentación se halla relacionada y estructurada en el </w:t>
      </w:r>
      <w:r>
        <w:rPr>
          <w:lang w:val="es-ES"/>
        </w:rPr>
        <w:t>capítulo</w:t>
      </w:r>
      <w:r w:rsidRPr="008820A4">
        <w:rPr>
          <w:lang w:val="es-ES"/>
        </w:rPr>
        <w:t xml:space="preserve"> 2 del informe.</w:t>
      </w:r>
    </w:p>
    <w:p w:rsidR="002C5374" w:rsidRDefault="002C5374" w:rsidP="008820A4">
      <w:pPr>
        <w:rPr>
          <w:rFonts w:cs="Times New Roman"/>
          <w:lang w:val="es-ES"/>
        </w:rPr>
      </w:pPr>
      <w:r w:rsidRPr="008820A4">
        <w:rPr>
          <w:lang w:val="es-ES"/>
        </w:rPr>
        <w:t xml:space="preserve">Al objeto de </w:t>
      </w:r>
      <w:r>
        <w:rPr>
          <w:lang w:val="es-ES"/>
        </w:rPr>
        <w:t>conocer en detalle las maniobras realizadas sobre la red, las operaciones de limpieza y desinfección ejecutadas, las metodologías de trabajo empleadas, etc.</w:t>
      </w:r>
      <w:r w:rsidRPr="008820A4">
        <w:rPr>
          <w:lang w:val="es-ES"/>
        </w:rPr>
        <w:t xml:space="preserve">, se llevaron a cabo entrevistas personales con los técnicos y operarios que intervinieron en la gestión técnica del incidente. </w:t>
      </w:r>
    </w:p>
    <w:p w:rsidR="002C5374" w:rsidRPr="008820A4" w:rsidRDefault="002C5374" w:rsidP="008820A4">
      <w:pPr>
        <w:rPr>
          <w:rFonts w:cs="Times New Roman"/>
          <w:lang w:val="es-ES"/>
        </w:rPr>
      </w:pPr>
      <w:r>
        <w:rPr>
          <w:lang w:val="es-ES"/>
        </w:rPr>
        <w:t>Se mantuvieron entrevistas con colectivos vecinales asociados al barrio de Loreto encaminadas a conocer su percepción del incidente. En particular hubo una reunión con el colectivo vecinal de la Plaza La Fuente y con la Asociación de VecinosCampo de la Aviación.</w:t>
      </w:r>
    </w:p>
    <w:p w:rsidR="002C5374" w:rsidRDefault="002C5374" w:rsidP="008820A4">
      <w:pPr>
        <w:rPr>
          <w:rFonts w:cs="Times New Roman"/>
          <w:lang w:val="es-ES"/>
        </w:rPr>
      </w:pPr>
      <w:r w:rsidRPr="008820A4">
        <w:rPr>
          <w:lang w:val="es-ES"/>
        </w:rPr>
        <w:t xml:space="preserve">Con el objetivo de conocer en la mayor profundidad posible el fenómeno microbiológico asociado al incidente, se mantuvieron dos reuniones con los responsables del </w:t>
      </w:r>
      <w:r>
        <w:rPr>
          <w:lang w:val="es-ES"/>
        </w:rPr>
        <w:t xml:space="preserve">Laboratorio de Aguas Naturales y de Consumo Humano de la Universidad de Cádiz, en adelante el </w:t>
      </w:r>
      <w:r w:rsidRPr="008820A4">
        <w:rPr>
          <w:lang w:val="es-ES"/>
        </w:rPr>
        <w:t>laboratorio</w:t>
      </w:r>
      <w:r>
        <w:rPr>
          <w:lang w:val="es-ES"/>
        </w:rPr>
        <w:t>,</w:t>
      </w:r>
      <w:r w:rsidRPr="008820A4">
        <w:rPr>
          <w:lang w:val="es-ES"/>
        </w:rPr>
        <w:t xml:space="preserve"> encargado de los análisis de calidad del agua, tanto los ordinarios exigidos por la legislación vigente, como los extraordinarios realizados en el marco</w:t>
      </w:r>
      <w:r>
        <w:rPr>
          <w:lang w:val="es-ES"/>
        </w:rPr>
        <w:t xml:space="preserve"> del incidente. Asimismo, se le</w:t>
      </w:r>
      <w:r w:rsidRPr="008820A4">
        <w:rPr>
          <w:lang w:val="es-ES"/>
        </w:rPr>
        <w:t xml:space="preserve"> requirió </w:t>
      </w:r>
      <w:r>
        <w:rPr>
          <w:lang w:val="es-ES"/>
        </w:rPr>
        <w:t xml:space="preserve">al laboratorio </w:t>
      </w:r>
      <w:r w:rsidRPr="008820A4">
        <w:rPr>
          <w:lang w:val="es-ES"/>
        </w:rPr>
        <w:t xml:space="preserve">la elaboración de un informe en el que se abordasen una serie de cuestiones específicas encaminadas al esclarecimiento de las causas microbiológicas del incidente. </w:t>
      </w:r>
    </w:p>
    <w:p w:rsidR="002C5374" w:rsidRPr="008820A4" w:rsidRDefault="002C5374" w:rsidP="008820A4">
      <w:pPr>
        <w:rPr>
          <w:lang w:val="es-ES"/>
        </w:rPr>
      </w:pPr>
      <w:r w:rsidRPr="008820A4">
        <w:rPr>
          <w:lang w:val="es-ES"/>
        </w:rPr>
        <w:t xml:space="preserve">En el </w:t>
      </w:r>
      <w:r>
        <w:rPr>
          <w:lang w:val="es-ES"/>
        </w:rPr>
        <w:t>capítulo</w:t>
      </w:r>
      <w:r w:rsidRPr="008820A4">
        <w:rPr>
          <w:lang w:val="es-ES"/>
        </w:rPr>
        <w:t xml:space="preserve"> 3</w:t>
      </w:r>
      <w:r>
        <w:rPr>
          <w:lang w:val="es-ES"/>
        </w:rPr>
        <w:t xml:space="preserve"> del informe</w:t>
      </w:r>
      <w:r w:rsidRPr="008820A4">
        <w:rPr>
          <w:lang w:val="es-ES"/>
        </w:rPr>
        <w:t xml:space="preserve">, se encuentran relacionadas las entrevistas realizadas y en el apartado de Anexos se encuentra el </w:t>
      </w:r>
      <w:r>
        <w:rPr>
          <w:lang w:val="es-ES"/>
        </w:rPr>
        <w:t xml:space="preserve">propio </w:t>
      </w:r>
      <w:r w:rsidRPr="008820A4">
        <w:rPr>
          <w:lang w:val="es-ES"/>
        </w:rPr>
        <w:t>informe del laboratorio.</w:t>
      </w:r>
    </w:p>
    <w:p w:rsidR="002C5374" w:rsidRDefault="002C5374" w:rsidP="008820A4">
      <w:pPr>
        <w:rPr>
          <w:lang w:val="es-ES"/>
        </w:rPr>
      </w:pPr>
      <w:r w:rsidRPr="008820A4">
        <w:rPr>
          <w:lang w:val="es-ES"/>
        </w:rPr>
        <w:t xml:space="preserve">Tomando como base la información aportada en las entrevistas con el personal técnico y del laboratorio, así como los resultados de las analíticas realizadas </w:t>
      </w:r>
      <w:r>
        <w:rPr>
          <w:lang w:val="es-ES"/>
        </w:rPr>
        <w:t xml:space="preserve">por el laboratorio </w:t>
      </w:r>
      <w:r w:rsidRPr="008820A4">
        <w:rPr>
          <w:lang w:val="es-ES"/>
        </w:rPr>
        <w:t xml:space="preserve">en el marco temporal del incidente, </w:t>
      </w:r>
      <w:r>
        <w:rPr>
          <w:lang w:val="es-ES"/>
        </w:rPr>
        <w:t>se encargó la realización de unmodelo hidráulico del sector, al objeto de simular escenarios dedistribución de aguas procedentes de posibles focos contaminantesque hubieran podido estar presentes en la red.</w:t>
      </w:r>
    </w:p>
    <w:p w:rsidR="002C5374" w:rsidRDefault="002C5374" w:rsidP="008820A4">
      <w:pPr>
        <w:rPr>
          <w:lang w:val="es-ES"/>
        </w:rPr>
      </w:pPr>
      <w:r>
        <w:rPr>
          <w:lang w:val="es-ES"/>
        </w:rPr>
        <w:t>Con toda la información obtenidade las tareas anteriores se procedió a su análisis, procurando tener en cuenta todos los aspectos que pudieron tener relación con el incidente. Estos factoresse agruparon por una parte en los relativos a la calidad de agua y al funcionamiento hidráulico del sector y por otra en los relativos a la gestión del incidente y los gastos ocasionados por éste. Todo este trabajo se expone en el capítulo 4.</w:t>
      </w:r>
    </w:p>
    <w:p w:rsidR="002C5374" w:rsidRDefault="002C5374" w:rsidP="008820A4">
      <w:pPr>
        <w:rPr>
          <w:lang w:val="es-ES"/>
        </w:rPr>
      </w:pPr>
      <w:r>
        <w:rPr>
          <w:lang w:val="es-ES"/>
        </w:rPr>
        <w:t>Con todo ello se procedió a la valoración del análisis realizado, tratando de contemplar la situación estudiada en su conjunto,y con ello poder atribuir un peso a cada factor considerado, jerarquizandola influencia de cada uno de éstos en el establecimiento de las conclusiones. Este trabajo, que se realizó tanto para la identificación de las causas del incidente como para la gestión de éste, constituye el contenido del capítulo 5 del informe.</w:t>
      </w:r>
    </w:p>
    <w:p w:rsidR="002C5374" w:rsidRDefault="002C5374" w:rsidP="008820A4">
      <w:pPr>
        <w:rPr>
          <w:lang w:val="es-ES"/>
        </w:rPr>
      </w:pPr>
      <w:r>
        <w:rPr>
          <w:lang w:val="es-ES"/>
        </w:rPr>
        <w:t>Como resultado de todo lo anterior se establecen una serie de conclusiones y recomendaciones, de acuerdo con algunas consideraciones previas y comentarios, información que se recoge en los capítulos 6 a 8 del informe.</w:t>
      </w:r>
    </w:p>
    <w:p w:rsidR="002C5374" w:rsidRDefault="002C5374" w:rsidP="008820A4">
      <w:pPr>
        <w:rPr>
          <w:lang w:val="es-ES"/>
        </w:rPr>
      </w:pPr>
    </w:p>
    <w:p w:rsidR="002C5374" w:rsidRDefault="002C5374" w:rsidP="00B0088E">
      <w:pPr>
        <w:pStyle w:val="Heading1"/>
        <w:rPr>
          <w:lang w:val="es-ES"/>
        </w:rPr>
      </w:pPr>
      <w:bookmarkStart w:id="6" w:name="_DOCUMENTACIÓN_DISPONIBLE"/>
      <w:bookmarkStart w:id="7" w:name="_Toc444607429"/>
      <w:bookmarkEnd w:id="6"/>
      <w:r>
        <w:rPr>
          <w:lang w:val="es-ES"/>
        </w:rPr>
        <w:t>DOCUMENTACIÓN DISPONIBLE</w:t>
      </w:r>
      <w:bookmarkEnd w:id="7"/>
    </w:p>
    <w:p w:rsidR="002C5374" w:rsidRDefault="002C5374" w:rsidP="005F7AA5">
      <w:pPr>
        <w:rPr>
          <w:lang w:val="es-ES"/>
        </w:rPr>
      </w:pPr>
      <w:r>
        <w:rPr>
          <w:lang w:val="es-ES"/>
        </w:rPr>
        <w:t>La información puesta a disposición de la comisión para el estudio del incidente consta de 76 documentos de diferente índole (técnica, administrativa, etc.) que han sido revisados y analizados.</w:t>
      </w:r>
    </w:p>
    <w:p w:rsidR="002C5374" w:rsidRDefault="002C5374" w:rsidP="005F7AA5">
      <w:pPr>
        <w:rPr>
          <w:lang w:val="es-ES"/>
        </w:rPr>
      </w:pPr>
      <w:r>
        <w:rPr>
          <w:lang w:val="es-ES"/>
        </w:rPr>
        <w:t xml:space="preserve">Toda esta documentación es estructurada y relacionada en el informe. Una copia de cada documento se recoge en la sección de anexos del propio informe. </w:t>
      </w:r>
    </w:p>
    <w:p w:rsidR="002C5374" w:rsidRPr="00D35F41" w:rsidRDefault="002C5374" w:rsidP="005F7AA5">
      <w:pPr>
        <w:rPr>
          <w:rFonts w:cs="Times New Roman"/>
          <w:lang w:val="es-ES"/>
        </w:rPr>
      </w:pPr>
    </w:p>
    <w:p w:rsidR="002C5374" w:rsidRDefault="002C5374" w:rsidP="00B0088E">
      <w:pPr>
        <w:pStyle w:val="Heading1"/>
        <w:keepNext/>
        <w:spacing w:before="0" w:after="240"/>
        <w:ind w:left="431" w:hanging="431"/>
        <w:rPr>
          <w:lang w:val="es-ES"/>
        </w:rPr>
      </w:pPr>
      <w:bookmarkStart w:id="8" w:name="_AMPLIACIÓN_DE_LA"/>
      <w:bookmarkStart w:id="9" w:name="_Toc444607430"/>
      <w:bookmarkEnd w:id="8"/>
      <w:r>
        <w:rPr>
          <w:lang w:val="es-ES"/>
        </w:rPr>
        <w:t>AMPLIACIÓN DE LA INFORMACIÓN DISPONIBLE</w:t>
      </w:r>
      <w:bookmarkEnd w:id="9"/>
    </w:p>
    <w:p w:rsidR="002C5374" w:rsidRDefault="002C5374" w:rsidP="00377C8D">
      <w:pPr>
        <w:rPr>
          <w:lang w:val="es-ES"/>
        </w:rPr>
      </w:pPr>
      <w:r>
        <w:rPr>
          <w:lang w:val="es-ES"/>
        </w:rPr>
        <w:t>Como ya se ha indicado al describir la metodología de trabajo empleada por la comisión, se consideró necesario ampliar la información aportada en la documentación inicial mediante las siguientes acciones:</w:t>
      </w:r>
    </w:p>
    <w:p w:rsidR="002C5374" w:rsidRDefault="002C5374" w:rsidP="00844A51">
      <w:pPr>
        <w:pStyle w:val="ListParagraph"/>
        <w:numPr>
          <w:ilvl w:val="0"/>
          <w:numId w:val="9"/>
        </w:numPr>
        <w:rPr>
          <w:lang w:val="es-ES"/>
        </w:rPr>
      </w:pPr>
      <w:r>
        <w:rPr>
          <w:lang w:val="es-ES"/>
        </w:rPr>
        <w:t>L</w:t>
      </w:r>
      <w:r w:rsidRPr="007E23E7">
        <w:rPr>
          <w:lang w:val="es-ES"/>
        </w:rPr>
        <w:t>a entrevista personal con los distintos agentes que intervinieron de un</w:t>
      </w:r>
      <w:r>
        <w:rPr>
          <w:lang w:val="es-ES"/>
        </w:rPr>
        <w:t>a u otra forma en el incidente, en particular los mandos y operarios de Aguas de Cádiz que intervinieron en la gestión técnica del incidente, representantes de colectivos vecinales del barrio y responsables del laboratorio</w:t>
      </w:r>
    </w:p>
    <w:p w:rsidR="002C5374" w:rsidRDefault="002C5374" w:rsidP="00844A51">
      <w:pPr>
        <w:pStyle w:val="ListParagraph"/>
        <w:numPr>
          <w:ilvl w:val="0"/>
          <w:numId w:val="9"/>
        </w:numPr>
        <w:rPr>
          <w:lang w:val="es-ES"/>
        </w:rPr>
      </w:pPr>
      <w:r>
        <w:rPr>
          <w:lang w:val="es-ES"/>
        </w:rPr>
        <w:t>La solicitud de documentos específicos que complementasen a los aportados inicialmente</w:t>
      </w:r>
    </w:p>
    <w:p w:rsidR="002C5374" w:rsidRPr="007E23E7" w:rsidRDefault="002C5374" w:rsidP="00844A51">
      <w:pPr>
        <w:pStyle w:val="ListParagraph"/>
        <w:numPr>
          <w:ilvl w:val="0"/>
          <w:numId w:val="9"/>
        </w:numPr>
        <w:rPr>
          <w:rFonts w:cs="Times New Roman"/>
          <w:lang w:val="es-ES"/>
        </w:rPr>
      </w:pPr>
      <w:r>
        <w:rPr>
          <w:lang w:val="es-ES"/>
        </w:rPr>
        <w:t>El encargo de una simulación del funcionamiento hidráulico de la red de abastecimiento del barrio, con el que poder contribuir a esclarecer las causas del incidente</w:t>
      </w:r>
    </w:p>
    <w:p w:rsidR="002C5374" w:rsidRDefault="002C5374" w:rsidP="00E74EE0">
      <w:pPr>
        <w:rPr>
          <w:lang w:val="es-ES"/>
        </w:rPr>
      </w:pPr>
      <w:r>
        <w:rPr>
          <w:lang w:val="es-ES"/>
        </w:rPr>
        <w:t xml:space="preserve">A continuación, se presenta una relación de las actividades realizadas encaminadas a ampliar la información disponible por la comisión para su análisis. </w:t>
      </w:r>
    </w:p>
    <w:p w:rsidR="002C5374" w:rsidRDefault="002C5374" w:rsidP="00E74EE0">
      <w:pPr>
        <w:rPr>
          <w:lang w:val="es-ES"/>
        </w:rPr>
      </w:pPr>
    </w:p>
    <w:p w:rsidR="002C5374" w:rsidRPr="00711C32" w:rsidRDefault="002C5374" w:rsidP="00B0088E">
      <w:pPr>
        <w:pStyle w:val="Heading2"/>
        <w:rPr>
          <w:b w:val="0"/>
          <w:bCs w:val="0"/>
          <w:lang w:val="es-ES"/>
        </w:rPr>
      </w:pPr>
      <w:bookmarkStart w:id="10" w:name="_ENTREVISTAS_Y_REUNIONES"/>
      <w:bookmarkStart w:id="11" w:name="_Toc444607431"/>
      <w:bookmarkEnd w:id="10"/>
      <w:r w:rsidRPr="00711C32">
        <w:rPr>
          <w:b w:val="0"/>
          <w:bCs w:val="0"/>
          <w:lang w:val="es-ES"/>
        </w:rPr>
        <w:t>ENTREVISTAS Y REUNIONESCON LOS AGENTES RELACIONADOS CON EL INCIDENTE</w:t>
      </w:r>
      <w:bookmarkEnd w:id="11"/>
    </w:p>
    <w:p w:rsidR="002C5374" w:rsidRDefault="002C5374" w:rsidP="00E74EE0">
      <w:pPr>
        <w:rPr>
          <w:lang w:val="es-ES"/>
        </w:rPr>
      </w:pPr>
      <w:r>
        <w:rPr>
          <w:lang w:val="es-ES"/>
        </w:rPr>
        <w:t>Se llevaron a cabo 6 reuniones con el personal técnico de Aguas de Cádiz que tuvo relación con el incidente (técnicos y operarios), 3 reuniones con los responsables del laboratorio y 2 reuniones con colectivo vecinales. Todas ellas se encuentran estructuradas y relacionadas en el informe.</w:t>
      </w:r>
    </w:p>
    <w:p w:rsidR="002C5374" w:rsidRDefault="002C5374" w:rsidP="00E74EE0">
      <w:pPr>
        <w:rPr>
          <w:lang w:val="es-ES"/>
        </w:rPr>
      </w:pPr>
    </w:p>
    <w:p w:rsidR="002C5374" w:rsidRPr="00711C32" w:rsidRDefault="002C5374" w:rsidP="00B0088E">
      <w:pPr>
        <w:pStyle w:val="Heading2"/>
        <w:rPr>
          <w:b w:val="0"/>
          <w:bCs w:val="0"/>
          <w:lang w:val="es-ES"/>
        </w:rPr>
      </w:pPr>
      <w:bookmarkStart w:id="12" w:name="_DOCUMENTACIÓN_TÉCNICA_ADICIONAL"/>
      <w:bookmarkStart w:id="13" w:name="_Toc444607432"/>
      <w:bookmarkEnd w:id="12"/>
      <w:r w:rsidRPr="00711C32">
        <w:rPr>
          <w:b w:val="0"/>
          <w:bCs w:val="0"/>
          <w:lang w:val="es-ES"/>
        </w:rPr>
        <w:t>DOCUMENTACIÓN TÉCNICA ADICIONAL</w:t>
      </w:r>
      <w:bookmarkEnd w:id="13"/>
    </w:p>
    <w:p w:rsidR="002C5374" w:rsidRDefault="002C5374" w:rsidP="00174A6F">
      <w:pPr>
        <w:rPr>
          <w:lang w:val="es-ES"/>
        </w:rPr>
      </w:pPr>
      <w:r>
        <w:rPr>
          <w:lang w:val="es-ES"/>
        </w:rPr>
        <w:t>Se solicitó al departamento técnico de Aguas de Cádiz documentos específicos de carácter técnico, económico y de calidad del agua.</w:t>
      </w:r>
    </w:p>
    <w:p w:rsidR="002C5374" w:rsidRPr="00D35F41" w:rsidRDefault="002C5374" w:rsidP="00174A6F">
      <w:pPr>
        <w:rPr>
          <w:rFonts w:cs="Times New Roman"/>
          <w:lang w:val="es-ES"/>
        </w:rPr>
      </w:pPr>
      <w:r>
        <w:rPr>
          <w:lang w:val="es-ES"/>
        </w:rPr>
        <w:t>Estos 11 documentos se encuentran estructurados y relacionados en el informe.</w:t>
      </w:r>
    </w:p>
    <w:p w:rsidR="002C5374" w:rsidRDefault="002C5374" w:rsidP="00BB586F">
      <w:pPr>
        <w:rPr>
          <w:rFonts w:cs="Times New Roman"/>
          <w:sz w:val="20"/>
          <w:szCs w:val="20"/>
          <w:lang w:val="es-ES"/>
        </w:rPr>
      </w:pPr>
    </w:p>
    <w:p w:rsidR="002C5374" w:rsidRPr="00711C32" w:rsidRDefault="002C5374" w:rsidP="00B0088E">
      <w:pPr>
        <w:pStyle w:val="Heading2"/>
        <w:rPr>
          <w:b w:val="0"/>
          <w:bCs w:val="0"/>
          <w:lang w:val="es-ES"/>
        </w:rPr>
      </w:pPr>
      <w:bookmarkStart w:id="14" w:name="_Toc444607433"/>
      <w:r w:rsidRPr="00711C32">
        <w:rPr>
          <w:b w:val="0"/>
          <w:bCs w:val="0"/>
          <w:lang w:val="es-ES"/>
        </w:rPr>
        <w:t>SIMULACIÓN DEL FUNCIONAMIENTO HIDRÁULICO DEL SECTOR</w:t>
      </w:r>
      <w:bookmarkEnd w:id="14"/>
    </w:p>
    <w:p w:rsidR="002C5374" w:rsidRDefault="002C5374" w:rsidP="00B56D11">
      <w:pPr>
        <w:rPr>
          <w:lang w:val="es-ES"/>
        </w:rPr>
      </w:pPr>
      <w:r>
        <w:rPr>
          <w:lang w:val="es-ES"/>
        </w:rPr>
        <w:t>Se encargó a la empresa Aquageo la simulación del funcionamiento hidráulico del sector que abastece al barrio de Loreto, teniendo en cuenta la red existente en septiembre de 2014 así como las maniobras referidas por el personal técnico.</w:t>
      </w:r>
    </w:p>
    <w:p w:rsidR="002C5374" w:rsidRDefault="002C5374" w:rsidP="00B56D11">
      <w:pPr>
        <w:rPr>
          <w:lang w:val="es-ES"/>
        </w:rPr>
      </w:pPr>
      <w:r>
        <w:rPr>
          <w:lang w:val="es-ES"/>
        </w:rPr>
        <w:t>Con esta simulación ha dispuesto de un modelo de la red con el que visualizar los sentidos y velocidades del flujo en todos los conductos, así como el rastreo del agua proveniente de posibles focos contaminantes que pudiesen haber afectado a la calidad del agua del sector.</w:t>
      </w:r>
    </w:p>
    <w:p w:rsidR="002C5374" w:rsidRDefault="002C5374" w:rsidP="00B56D11">
      <w:pPr>
        <w:rPr>
          <w:lang w:val="es-ES"/>
        </w:rPr>
      </w:pPr>
      <w:r>
        <w:rPr>
          <w:lang w:val="es-ES"/>
        </w:rPr>
        <w:t>Los resultados de este informe, son analizados en el apartado 4.4 del informe dedicado a los aspectos de comportamiento hidráulico de la red durante el incidente.</w:t>
      </w:r>
    </w:p>
    <w:p w:rsidR="002C5374" w:rsidRDefault="002C5374" w:rsidP="00B56D11">
      <w:pPr>
        <w:rPr>
          <w:lang w:val="es-ES"/>
        </w:rPr>
      </w:pPr>
    </w:p>
    <w:p w:rsidR="002C5374" w:rsidRDefault="002C5374" w:rsidP="00B0088E">
      <w:pPr>
        <w:pStyle w:val="Heading1"/>
        <w:keepNext/>
        <w:spacing w:before="0" w:after="240"/>
        <w:ind w:left="431" w:hanging="431"/>
        <w:rPr>
          <w:lang w:val="es-ES"/>
        </w:rPr>
      </w:pPr>
      <w:bookmarkStart w:id="15" w:name="_Toc444607434"/>
      <w:r>
        <w:rPr>
          <w:lang w:val="es-ES"/>
        </w:rPr>
        <w:t>ANÁLISIS DE LOS DATOS DISPONIBLES</w:t>
      </w:r>
      <w:bookmarkEnd w:id="15"/>
    </w:p>
    <w:p w:rsidR="002C5374" w:rsidRDefault="002C5374" w:rsidP="00E74EE0">
      <w:pPr>
        <w:rPr>
          <w:lang w:val="es-ES"/>
        </w:rPr>
      </w:pPr>
      <w:r>
        <w:rPr>
          <w:lang w:val="es-ES"/>
        </w:rPr>
        <w:t>Se presenta a continuación el análisis de la información obtenida en relación con el incidente, agrupando éstasegún la naturaleza de los aspectos considerados:</w:t>
      </w:r>
    </w:p>
    <w:p w:rsidR="002C5374" w:rsidRDefault="002C5374" w:rsidP="00844A51">
      <w:pPr>
        <w:pStyle w:val="ListParagraph"/>
        <w:numPr>
          <w:ilvl w:val="0"/>
          <w:numId w:val="9"/>
        </w:numPr>
        <w:rPr>
          <w:lang w:val="es-ES"/>
        </w:rPr>
      </w:pPr>
      <w:r>
        <w:rPr>
          <w:lang w:val="es-ES"/>
        </w:rPr>
        <w:t>Aspectos relativos a la calidad del agua</w:t>
      </w:r>
    </w:p>
    <w:p w:rsidR="002C5374" w:rsidRDefault="002C5374" w:rsidP="00844A51">
      <w:pPr>
        <w:pStyle w:val="ListParagraph"/>
        <w:numPr>
          <w:ilvl w:val="0"/>
          <w:numId w:val="9"/>
        </w:numPr>
        <w:rPr>
          <w:lang w:val="es-ES"/>
        </w:rPr>
      </w:pPr>
      <w:r>
        <w:rPr>
          <w:lang w:val="es-ES"/>
        </w:rPr>
        <w:t>Aspectos relativos al funcionamiento hidráulico de la red</w:t>
      </w:r>
    </w:p>
    <w:p w:rsidR="002C5374" w:rsidRDefault="002C5374" w:rsidP="00844A51">
      <w:pPr>
        <w:pStyle w:val="ListParagraph"/>
        <w:numPr>
          <w:ilvl w:val="0"/>
          <w:numId w:val="9"/>
        </w:numPr>
        <w:rPr>
          <w:lang w:val="es-ES"/>
        </w:rPr>
      </w:pPr>
      <w:r>
        <w:rPr>
          <w:lang w:val="es-ES"/>
        </w:rPr>
        <w:t>Aspectos relativos a la gestión del incidente</w:t>
      </w:r>
    </w:p>
    <w:p w:rsidR="002C5374" w:rsidRDefault="002C5374" w:rsidP="00844A51">
      <w:pPr>
        <w:pStyle w:val="ListParagraph"/>
        <w:numPr>
          <w:ilvl w:val="0"/>
          <w:numId w:val="9"/>
        </w:numPr>
        <w:rPr>
          <w:lang w:val="es-ES"/>
        </w:rPr>
      </w:pPr>
      <w:r>
        <w:rPr>
          <w:lang w:val="es-ES"/>
        </w:rPr>
        <w:t>Aspectos relacionados con los gastos ocasionados por el incidente</w:t>
      </w:r>
    </w:p>
    <w:p w:rsidR="002C5374" w:rsidRDefault="002C5374" w:rsidP="00192AF3">
      <w:pPr>
        <w:rPr>
          <w:lang w:val="es-ES"/>
        </w:rPr>
      </w:pPr>
      <w:r>
        <w:rPr>
          <w:lang w:val="es-ES"/>
        </w:rPr>
        <w:t>Cada uno de estos aspectos es objeto de un apartado en el propio informe, en el que se analiza el incidente desde una perspectiva concreta. Este análisis ha permitido identificar, seleccionar y destacar las primeras ideas relevantes a la hora de establecer conclusiones en relación con las causas y el desarrollo del incidente.</w:t>
      </w:r>
    </w:p>
    <w:p w:rsidR="002C5374" w:rsidRDefault="002C5374" w:rsidP="00192AF3">
      <w:pPr>
        <w:rPr>
          <w:lang w:val="es-ES"/>
        </w:rPr>
      </w:pPr>
      <w:r>
        <w:rPr>
          <w:lang w:val="es-ES"/>
        </w:rPr>
        <w:t>Se ha considerado pertinente comenzar este análisis delimitando e identificando con claridad el suceso que se analiza.</w:t>
      </w:r>
    </w:p>
    <w:p w:rsidR="002C5374" w:rsidRPr="00192AF3" w:rsidRDefault="002C5374" w:rsidP="00192AF3">
      <w:pPr>
        <w:rPr>
          <w:rFonts w:cs="Times New Roman"/>
          <w:lang w:val="es-ES"/>
        </w:rPr>
      </w:pPr>
    </w:p>
    <w:p w:rsidR="002C5374" w:rsidRPr="00711C32" w:rsidRDefault="002C5374" w:rsidP="00E74EE0">
      <w:pPr>
        <w:pStyle w:val="Heading2"/>
        <w:rPr>
          <w:b w:val="0"/>
          <w:bCs w:val="0"/>
          <w:lang w:val="es-ES"/>
        </w:rPr>
      </w:pPr>
      <w:bookmarkStart w:id="16" w:name="_Toc444607435"/>
      <w:r w:rsidRPr="00711C32">
        <w:rPr>
          <w:b w:val="0"/>
          <w:bCs w:val="0"/>
          <w:lang w:val="es-ES"/>
        </w:rPr>
        <w:t>NATURALEZA</w:t>
      </w:r>
      <w:r>
        <w:rPr>
          <w:b w:val="0"/>
          <w:bCs w:val="0"/>
          <w:lang w:val="es-ES"/>
        </w:rPr>
        <w:t>, ALCANCE Y FASES</w:t>
      </w:r>
      <w:r w:rsidRPr="00711C32">
        <w:rPr>
          <w:b w:val="0"/>
          <w:bCs w:val="0"/>
          <w:lang w:val="es-ES"/>
        </w:rPr>
        <w:t xml:space="preserve"> DEL INCIDENTE</w:t>
      </w:r>
      <w:bookmarkEnd w:id="16"/>
    </w:p>
    <w:p w:rsidR="002C5374" w:rsidRDefault="002C5374" w:rsidP="00E74EE0">
      <w:pPr>
        <w:rPr>
          <w:lang w:val="es-ES"/>
        </w:rPr>
      </w:pPr>
      <w:r>
        <w:rPr>
          <w:lang w:val="es-ES"/>
        </w:rPr>
        <w:t xml:space="preserve">El incidente del servicio de abastecimiento de agua al barrio de Loreto responde a lo que la normativa en materia de calidad del agua de consumo humano identifica como una situación de incumplimientode los valores paramétricos establecidos, que deriva en la declaración como no apta para el consumo con riesgo para la salud, el agua distribuida en toda la zona afectada. </w:t>
      </w:r>
    </w:p>
    <w:p w:rsidR="002C5374" w:rsidRDefault="002C5374" w:rsidP="00E74EE0">
      <w:pPr>
        <w:rPr>
          <w:lang w:val="es-ES"/>
        </w:rPr>
      </w:pPr>
      <w:r>
        <w:rPr>
          <w:lang w:val="es-ES"/>
        </w:rPr>
        <w:t>El corte del suministro que conllevó la declaración de todo el agua distribuida en el barrio  de Loreto como no apta, por sus especiales características en términos de población afectada y duración, derivó en una situación de alarma social.</w:t>
      </w:r>
    </w:p>
    <w:p w:rsidR="002C5374" w:rsidRPr="00A7718B" w:rsidRDefault="002C5374" w:rsidP="00E74EE0">
      <w:pPr>
        <w:rPr>
          <w:lang w:val="es-ES"/>
        </w:rPr>
      </w:pPr>
      <w:r w:rsidRPr="00A7718B">
        <w:rPr>
          <w:lang w:val="es-ES"/>
        </w:rPr>
        <w:t>A efectos del presente informe y por tanto del análisis que en este capítulo se realiza, el incidente comienza el día 29 de septiembre de 2014 cuando se produce el primer incumplimiento de valores paramétricos en alguna de las determinaciones de los análisis que ese día se realizan en el barrio y termina el 25 de octubre de 2014 cuando se completa el restablecimiento del servicio mediante la correspondiente Resolución de aptitud.</w:t>
      </w:r>
    </w:p>
    <w:p w:rsidR="002C5374" w:rsidRDefault="002C5374" w:rsidP="00E74EE0">
      <w:pPr>
        <w:rPr>
          <w:lang w:val="es-ES"/>
        </w:rPr>
      </w:pPr>
      <w:r w:rsidRPr="00A7718B">
        <w:rPr>
          <w:lang w:val="es-ES"/>
        </w:rPr>
        <w:t>Desde el punto de vista del análisis del incidente, existen dos fases claramente diferenciadas: antes y después del día 13 de octubre. Este día se conoce que en todas las muestras recogidas el día</w:t>
      </w:r>
      <w:r>
        <w:rPr>
          <w:lang w:val="es-ES"/>
        </w:rPr>
        <w:t xml:space="preserve"> anterior en 8 puntos de muestreo del sector Loreto, se obtuvieron valores de Bacterias coliformes y E. coli mayores de 150 UFC/100 ml. A partir de ese momento,la movilización de recursos por parte de Aguas de Cádiz para tratar de atajar el incidente y sus consecuencias sociales, es total. En adelante, nos referiremos al periodo entre el 29 de septiembre y el 13 de octubre como fase 1 del incidente y al período entre el 14 y el 25 de octubre como fase 2.</w:t>
      </w:r>
    </w:p>
    <w:p w:rsidR="002C5374" w:rsidRDefault="002C5374" w:rsidP="00E74EE0">
      <w:pPr>
        <w:rPr>
          <w:lang w:val="es-ES"/>
        </w:rPr>
      </w:pPr>
    </w:p>
    <w:p w:rsidR="002C5374" w:rsidRPr="00965C65" w:rsidRDefault="002C5374" w:rsidP="00E74EE0">
      <w:pPr>
        <w:pStyle w:val="Heading2"/>
        <w:rPr>
          <w:b w:val="0"/>
          <w:bCs w:val="0"/>
          <w:lang w:val="es-ES"/>
        </w:rPr>
      </w:pPr>
      <w:bookmarkStart w:id="17" w:name="_Toc444607436"/>
      <w:r w:rsidRPr="00965C65">
        <w:rPr>
          <w:b w:val="0"/>
          <w:bCs w:val="0"/>
          <w:lang w:val="es-ES"/>
        </w:rPr>
        <w:t>ANÁLISIS DE LOS ASPECTOS RELATIVOS ALA CALIDAD DEL AGUA</w:t>
      </w:r>
      <w:bookmarkEnd w:id="17"/>
    </w:p>
    <w:p w:rsidR="002C5374" w:rsidRDefault="002C5374" w:rsidP="00E74EE0">
      <w:pPr>
        <w:rPr>
          <w:lang w:val="es-ES"/>
        </w:rPr>
      </w:pPr>
      <w:r>
        <w:rPr>
          <w:lang w:val="es-ES"/>
        </w:rPr>
        <w:t>Se analizan a continuación los aspectos relativos a la calidad del agua del incidente. Para ello se han llevado a cabo las siguientes actividades:</w:t>
      </w:r>
    </w:p>
    <w:p w:rsidR="002C5374" w:rsidRPr="00BB6491" w:rsidRDefault="002C5374" w:rsidP="00844A51">
      <w:pPr>
        <w:pStyle w:val="ListParagraph"/>
        <w:numPr>
          <w:ilvl w:val="0"/>
          <w:numId w:val="9"/>
        </w:numPr>
        <w:rPr>
          <w:rFonts w:cs="Times New Roman"/>
          <w:lang w:val="es-ES"/>
        </w:rPr>
      </w:pPr>
      <w:r>
        <w:rPr>
          <w:lang w:val="es-ES"/>
        </w:rPr>
        <w:t xml:space="preserve">Se pone en contexto </w:t>
      </w:r>
      <w:r w:rsidRPr="00BB6491">
        <w:rPr>
          <w:lang w:val="es-ES"/>
        </w:rPr>
        <w:t xml:space="preserve">el incidente en relación con </w:t>
      </w:r>
      <w:r>
        <w:rPr>
          <w:lang w:val="es-ES"/>
        </w:rPr>
        <w:t xml:space="preserve">el marco legal de aplicación en materia de calidad del agua y con </w:t>
      </w:r>
      <w:r w:rsidRPr="00BB6491">
        <w:rPr>
          <w:lang w:val="es-ES"/>
        </w:rPr>
        <w:t xml:space="preserve">los registros del </w:t>
      </w:r>
      <w:r>
        <w:rPr>
          <w:lang w:val="es-ES"/>
        </w:rPr>
        <w:t>Sistema de Información Nacional de Aguas de Consumo (</w:t>
      </w:r>
      <w:r w:rsidRPr="00BB6491">
        <w:rPr>
          <w:lang w:val="es-ES"/>
        </w:rPr>
        <w:t>SINAC</w:t>
      </w:r>
      <w:r>
        <w:rPr>
          <w:lang w:val="es-ES"/>
        </w:rPr>
        <w:t>)</w:t>
      </w:r>
    </w:p>
    <w:p w:rsidR="002C5374" w:rsidRDefault="002C5374" w:rsidP="00844A51">
      <w:pPr>
        <w:pStyle w:val="ListParagraph"/>
        <w:numPr>
          <w:ilvl w:val="0"/>
          <w:numId w:val="9"/>
        </w:numPr>
        <w:rPr>
          <w:lang w:val="es-ES"/>
        </w:rPr>
      </w:pPr>
      <w:r>
        <w:rPr>
          <w:lang w:val="es-ES"/>
        </w:rPr>
        <w:t>Revisión de las técnicas empleadas por el laboratorio en las analíticas realizadas</w:t>
      </w:r>
    </w:p>
    <w:p w:rsidR="002C5374" w:rsidRDefault="002C5374" w:rsidP="00844A51">
      <w:pPr>
        <w:pStyle w:val="ListParagraph"/>
        <w:numPr>
          <w:ilvl w:val="0"/>
          <w:numId w:val="9"/>
        </w:numPr>
        <w:rPr>
          <w:lang w:val="es-ES"/>
        </w:rPr>
      </w:pPr>
      <w:r>
        <w:rPr>
          <w:lang w:val="es-ES"/>
        </w:rPr>
        <w:t>Representación en tablas de los valores de los indicadores de las analíticas</w:t>
      </w:r>
    </w:p>
    <w:p w:rsidR="002C5374" w:rsidRPr="00FE008D" w:rsidRDefault="002C5374" w:rsidP="00844A51">
      <w:pPr>
        <w:pStyle w:val="ListParagraph"/>
        <w:numPr>
          <w:ilvl w:val="0"/>
          <w:numId w:val="9"/>
        </w:numPr>
        <w:rPr>
          <w:rFonts w:cs="Times New Roman"/>
          <w:lang w:val="es-ES"/>
        </w:rPr>
      </w:pPr>
      <w:r>
        <w:rPr>
          <w:lang w:val="es-ES"/>
        </w:rPr>
        <w:t>Representación gráfica en planos de los incumplimientos de los valores paramétricos en los distintos puntos de muestreo</w:t>
      </w:r>
    </w:p>
    <w:p w:rsidR="002C5374" w:rsidRDefault="002C5374" w:rsidP="002A3AE6">
      <w:pPr>
        <w:pStyle w:val="Heading3"/>
      </w:pPr>
      <w:bookmarkStart w:id="18" w:name="_Toc444607437"/>
      <w:bookmarkStart w:id="19" w:name="_Toc442150359"/>
      <w:r>
        <w:t>RESULTADOS DEL ANÁLISIS DE LOS ASPECTOS RELATIVOS A LA CALIDAD DEL AGUA</w:t>
      </w:r>
      <w:bookmarkEnd w:id="18"/>
    </w:p>
    <w:p w:rsidR="002C5374" w:rsidRDefault="002C5374" w:rsidP="002002E0">
      <w:pPr>
        <w:rPr>
          <w:rFonts w:cs="Times New Roman"/>
          <w:lang w:val="es-ES"/>
        </w:rPr>
      </w:pPr>
      <w:r w:rsidRPr="00AD331F">
        <w:rPr>
          <w:lang w:val="es-ES"/>
        </w:rPr>
        <w:t>Las principales ideas que pueden extraerse del análisis realizado son las siguientes:</w:t>
      </w:r>
    </w:p>
    <w:p w:rsidR="002C5374" w:rsidRPr="005E3925" w:rsidRDefault="002C5374" w:rsidP="00844A51">
      <w:pPr>
        <w:pStyle w:val="ListParagraph"/>
        <w:numPr>
          <w:ilvl w:val="0"/>
          <w:numId w:val="9"/>
        </w:numPr>
        <w:rPr>
          <w:lang w:val="es-ES"/>
        </w:rPr>
      </w:pPr>
      <w:r w:rsidRPr="005E3925">
        <w:rPr>
          <w:lang w:val="es-ES"/>
        </w:rPr>
        <w:t>Aplicando criterios exclusivamente estadísticos resultalógico pensar que los incumplimientos de los valores paramétricos del día 29 de septiembre y sucesivos y los del día 12 octubre estén relacionados entre sí, es decir que no se trate de sucesos independientes en cuanto a su origen.</w:t>
      </w:r>
    </w:p>
    <w:p w:rsidR="002C5374" w:rsidRPr="005E3925" w:rsidRDefault="002C5374" w:rsidP="00844A51">
      <w:pPr>
        <w:pStyle w:val="ListParagraph"/>
        <w:numPr>
          <w:ilvl w:val="0"/>
          <w:numId w:val="9"/>
        </w:numPr>
        <w:rPr>
          <w:lang w:val="es-ES"/>
        </w:rPr>
      </w:pPr>
      <w:r w:rsidRPr="005E3925">
        <w:rPr>
          <w:lang w:val="es-ES"/>
        </w:rPr>
        <w:t>Desde los primeros días del incidente se detectó por parte del laboratorio una alta presencia de bacterias aerobias en el sector, aunque debido una aplicación estricta de los parámetros indicados en el R.D. 140/2003 no se procedió a la identificación de estas bacterias</w:t>
      </w:r>
    </w:p>
    <w:p w:rsidR="002C5374" w:rsidRPr="005E3925" w:rsidRDefault="002C5374" w:rsidP="00844A51">
      <w:pPr>
        <w:pStyle w:val="ListParagraph"/>
        <w:numPr>
          <w:ilvl w:val="0"/>
          <w:numId w:val="9"/>
        </w:numPr>
        <w:rPr>
          <w:lang w:val="es-ES"/>
        </w:rPr>
      </w:pPr>
      <w:r w:rsidRPr="005E3925">
        <w:rPr>
          <w:lang w:val="es-ES"/>
        </w:rPr>
        <w:t>El método de filtración por  membrana en condiciones de alta presencia de bacterias aerobias ysin la realización de diluciones, pudo provocar la alteración del recuento de colonias de Coliformes y de E.Coli, durante la primera fase del incidente</w:t>
      </w:r>
    </w:p>
    <w:p w:rsidR="002C5374" w:rsidRPr="005E3925" w:rsidRDefault="002C5374" w:rsidP="00844A51">
      <w:pPr>
        <w:pStyle w:val="ListParagraph"/>
        <w:numPr>
          <w:ilvl w:val="0"/>
          <w:numId w:val="9"/>
        </w:numPr>
        <w:rPr>
          <w:lang w:val="es-ES"/>
        </w:rPr>
      </w:pPr>
      <w:r w:rsidRPr="005E3925">
        <w:rPr>
          <w:lang w:val="es-ES"/>
        </w:rPr>
        <w:t>De la observación de las tabla 8 y 9 junto con lo expuesto en los ítems anteriores se desprende que se dio una situación de anormalidad bacteriológica prácticamente continua en el tiempo en el sector</w:t>
      </w:r>
    </w:p>
    <w:p w:rsidR="002C5374" w:rsidRPr="005E3925" w:rsidRDefault="002C5374" w:rsidP="00844A51">
      <w:pPr>
        <w:pStyle w:val="ListParagraph"/>
        <w:numPr>
          <w:ilvl w:val="0"/>
          <w:numId w:val="9"/>
        </w:numPr>
        <w:rPr>
          <w:lang w:val="es-ES"/>
        </w:rPr>
      </w:pPr>
      <w:r w:rsidRPr="005E3925">
        <w:rPr>
          <w:lang w:val="es-ES"/>
        </w:rPr>
        <w:t>De la observación de las figuras 3 a 18 se desprende que la afección se limita a los denominados subsectores 1,2 y 3</w:t>
      </w:r>
    </w:p>
    <w:p w:rsidR="002C5374" w:rsidRPr="0040561A" w:rsidRDefault="002C5374" w:rsidP="0040561A">
      <w:pPr>
        <w:rPr>
          <w:rFonts w:cs="Times New Roman"/>
          <w:b/>
          <w:bCs/>
          <w:lang w:val="es-ES"/>
        </w:rPr>
      </w:pPr>
    </w:p>
    <w:p w:rsidR="002C5374" w:rsidRPr="00B13672" w:rsidRDefault="002C5374" w:rsidP="00B13672">
      <w:pPr>
        <w:pStyle w:val="Heading2"/>
        <w:rPr>
          <w:b w:val="0"/>
          <w:bCs w:val="0"/>
          <w:lang w:val="es-ES"/>
        </w:rPr>
      </w:pPr>
      <w:bookmarkStart w:id="20" w:name="_Toc444607438"/>
      <w:r w:rsidRPr="00B13672">
        <w:rPr>
          <w:b w:val="0"/>
          <w:bCs w:val="0"/>
          <w:lang w:val="es-ES"/>
        </w:rPr>
        <w:t>ANÁLISIS DE LOS ASPECTOS RELATIVOS AL FUNCIONAMIENTO HIDRÁULICO DE LA RED</w:t>
      </w:r>
      <w:bookmarkEnd w:id="19"/>
      <w:bookmarkEnd w:id="20"/>
    </w:p>
    <w:p w:rsidR="002C5374" w:rsidRDefault="002C5374" w:rsidP="003E37DC">
      <w:pPr>
        <w:rPr>
          <w:lang w:val="es-ES"/>
        </w:rPr>
      </w:pPr>
      <w:r>
        <w:rPr>
          <w:lang w:val="es-ES"/>
        </w:rPr>
        <w:t>En este apartado se analizará el comportamiento hidráulico del sector a partir de los resultados de la modelación hidráulica encargada a la empresa Aquageo.</w:t>
      </w:r>
    </w:p>
    <w:p w:rsidR="002C5374" w:rsidRDefault="002C5374" w:rsidP="003E37DC">
      <w:pPr>
        <w:rPr>
          <w:lang w:val="es-ES"/>
        </w:rPr>
      </w:pPr>
      <w:r>
        <w:rPr>
          <w:lang w:val="es-ES"/>
        </w:rPr>
        <w:t>El método empleado en la simulaciónha sido partir del</w:t>
      </w:r>
      <w:r w:rsidRPr="003E37DC">
        <w:rPr>
          <w:lang w:val="es-ES"/>
        </w:rPr>
        <w:t xml:space="preserve"> estado de la red antes</w:t>
      </w:r>
      <w:r>
        <w:rPr>
          <w:lang w:val="es-ES"/>
        </w:rPr>
        <w:t xml:space="preserve"> delincidente para a continuación modelar las</w:t>
      </w:r>
      <w:r w:rsidRPr="003E37DC">
        <w:rPr>
          <w:lang w:val="es-ES"/>
        </w:rPr>
        <w:t xml:space="preserve">maniobras de apertura y cierre de válvulas </w:t>
      </w:r>
      <w:r>
        <w:rPr>
          <w:lang w:val="es-ES"/>
        </w:rPr>
        <w:t xml:space="preserve">que se realizaron en la red al inicio del incidente. </w:t>
      </w:r>
    </w:p>
    <w:p w:rsidR="002C5374" w:rsidRPr="003E37DC" w:rsidRDefault="002C5374" w:rsidP="003E37DC">
      <w:pPr>
        <w:rPr>
          <w:rFonts w:cs="Times New Roman"/>
          <w:lang w:val="es-ES"/>
        </w:rPr>
      </w:pPr>
      <w:r>
        <w:rPr>
          <w:lang w:val="es-ES"/>
        </w:rPr>
        <w:t>Con la simulación del funcionamiento de la red obtenemos una representación gráfica de los sentidos así como las velocidades del flujo en cada tramo de la red.</w:t>
      </w:r>
    </w:p>
    <w:p w:rsidR="002C5374" w:rsidRPr="003E37DC" w:rsidRDefault="002C5374" w:rsidP="00B13672">
      <w:pPr>
        <w:pStyle w:val="Heading3"/>
        <w:rPr>
          <w:rFonts w:cs="Times New Roman"/>
        </w:rPr>
      </w:pPr>
      <w:bookmarkStart w:id="21" w:name="_Toc444607439"/>
      <w:r>
        <w:t>RESULTADOS DEL ANÁLISIS DE LOS ASPECTOS RELATIVOS AL FUNCIONAMIENTO HIDRÁULICO</w:t>
      </w:r>
      <w:bookmarkEnd w:id="21"/>
    </w:p>
    <w:p w:rsidR="002C5374" w:rsidRDefault="002C5374" w:rsidP="00233AC1">
      <w:pPr>
        <w:rPr>
          <w:rFonts w:cs="Times New Roman"/>
          <w:lang w:val="es-ES"/>
        </w:rPr>
      </w:pPr>
      <w:r w:rsidRPr="001F0EF6">
        <w:rPr>
          <w:lang w:val="es-ES"/>
        </w:rPr>
        <w:t>Las principales ideas que pueden extraerse del análisis realizado son las siguientes:</w:t>
      </w:r>
    </w:p>
    <w:p w:rsidR="002C5374" w:rsidRPr="005E3925" w:rsidRDefault="002C5374" w:rsidP="00844A51">
      <w:pPr>
        <w:pStyle w:val="ListParagraph"/>
        <w:numPr>
          <w:ilvl w:val="0"/>
          <w:numId w:val="9"/>
        </w:numPr>
        <w:rPr>
          <w:lang w:val="es-ES"/>
        </w:rPr>
      </w:pPr>
      <w:r w:rsidRPr="005E3925">
        <w:rPr>
          <w:lang w:val="es-ES"/>
        </w:rPr>
        <w:t>Los sentidos del fluidoen algunas de las conducciones del sector Loreto, sentidosque podían llevarmás de un año inalterados pues estabancondicionados por el trazado de la red del sector y por la existencia de un único punto único de alimentación, circunstancias que no habían cambiado en ese pazo de tiempo, se inviertencon la apertura de las válvulas límite de sector (VLS)</w:t>
      </w:r>
    </w:p>
    <w:p w:rsidR="002C5374" w:rsidRPr="005E3925" w:rsidRDefault="002C5374" w:rsidP="00844A51">
      <w:pPr>
        <w:pStyle w:val="ListParagraph"/>
        <w:numPr>
          <w:ilvl w:val="0"/>
          <w:numId w:val="9"/>
        </w:numPr>
        <w:rPr>
          <w:lang w:val="es-ES"/>
        </w:rPr>
      </w:pPr>
      <w:r w:rsidRPr="005E3925">
        <w:rPr>
          <w:lang w:val="es-ES"/>
        </w:rPr>
        <w:t>Los volúmenes de agua contenidos en los tramos de conducción adyacentes a las VLS se ponen en circulación en el interior del sector</w:t>
      </w:r>
    </w:p>
    <w:p w:rsidR="002C5374" w:rsidRPr="005E3925" w:rsidRDefault="002C5374" w:rsidP="00844A51">
      <w:pPr>
        <w:pStyle w:val="ListParagraph"/>
        <w:numPr>
          <w:ilvl w:val="0"/>
          <w:numId w:val="9"/>
        </w:numPr>
        <w:rPr>
          <w:lang w:val="es-ES"/>
        </w:rPr>
      </w:pPr>
      <w:r w:rsidRPr="005E3925">
        <w:rPr>
          <w:lang w:val="es-ES"/>
        </w:rPr>
        <w:t>Como consecuencia de la apertura de las VLS, se producen en zonas del sector mezclas de aguas procedentes de los distintos puntos de entrada (el que existía antes de las maniobras y los tres nuevos que se ponen en servicio con las maniobras)</w:t>
      </w:r>
    </w:p>
    <w:p w:rsidR="002C5374" w:rsidRDefault="002C5374" w:rsidP="00233AC1">
      <w:pPr>
        <w:rPr>
          <w:rFonts w:cs="Times New Roman"/>
          <w:lang w:val="es-ES"/>
        </w:rPr>
      </w:pPr>
    </w:p>
    <w:p w:rsidR="002C5374" w:rsidRPr="002029C6" w:rsidRDefault="002C5374" w:rsidP="00311AC2">
      <w:pPr>
        <w:pStyle w:val="Heading2"/>
        <w:rPr>
          <w:b w:val="0"/>
          <w:bCs w:val="0"/>
          <w:lang w:val="es-ES"/>
        </w:rPr>
      </w:pPr>
      <w:bookmarkStart w:id="22" w:name="_Toc444607440"/>
      <w:r w:rsidRPr="002029C6">
        <w:rPr>
          <w:b w:val="0"/>
          <w:bCs w:val="0"/>
          <w:lang w:val="es-ES"/>
        </w:rPr>
        <w:t>ANÁLISIS DE LOS ASPECTOS RELATIVOS A LA GESTIÓN DEL INCIDENTE</w:t>
      </w:r>
      <w:bookmarkEnd w:id="22"/>
    </w:p>
    <w:p w:rsidR="002C5374" w:rsidRDefault="002C5374" w:rsidP="00311AC2">
      <w:pPr>
        <w:rPr>
          <w:lang w:val="es-ES"/>
        </w:rPr>
      </w:pPr>
      <w:r>
        <w:rPr>
          <w:lang w:val="es-ES"/>
        </w:rPr>
        <w:t>Se expone a continuación el análisis efectuado sobre los aspectos relativos a la gestión y manejo del incidente por parte de Aguas de Cádiz, agrupando éstos en las siguientes materias:</w:t>
      </w:r>
    </w:p>
    <w:p w:rsidR="002C5374" w:rsidRDefault="002C5374" w:rsidP="00844A51">
      <w:pPr>
        <w:pStyle w:val="ListParagraph"/>
        <w:numPr>
          <w:ilvl w:val="0"/>
          <w:numId w:val="9"/>
        </w:numPr>
        <w:rPr>
          <w:lang w:val="es-ES"/>
        </w:rPr>
      </w:pPr>
      <w:r>
        <w:rPr>
          <w:lang w:val="es-ES"/>
        </w:rPr>
        <w:t>Cumplimiento de la normativa de calidad del agua</w:t>
      </w:r>
    </w:p>
    <w:p w:rsidR="002C5374" w:rsidRDefault="002C5374" w:rsidP="00844A51">
      <w:pPr>
        <w:pStyle w:val="ListParagraph"/>
        <w:numPr>
          <w:ilvl w:val="0"/>
          <w:numId w:val="9"/>
        </w:numPr>
        <w:rPr>
          <w:lang w:val="es-ES"/>
        </w:rPr>
      </w:pPr>
      <w:r>
        <w:rPr>
          <w:lang w:val="es-ES"/>
        </w:rPr>
        <w:t>Funcionamiento de la cadena de mando en la gestión del incidente</w:t>
      </w:r>
    </w:p>
    <w:p w:rsidR="002C5374" w:rsidRDefault="002C5374" w:rsidP="00844A51">
      <w:pPr>
        <w:pStyle w:val="ListParagraph"/>
        <w:numPr>
          <w:ilvl w:val="0"/>
          <w:numId w:val="9"/>
        </w:numPr>
        <w:rPr>
          <w:lang w:val="es-ES"/>
        </w:rPr>
      </w:pPr>
      <w:r>
        <w:rPr>
          <w:lang w:val="es-ES"/>
        </w:rPr>
        <w:t>Relación con el laboratorio encargado de los análisis de la calidad del agua</w:t>
      </w:r>
    </w:p>
    <w:p w:rsidR="002C5374" w:rsidRDefault="002C5374" w:rsidP="00844A51">
      <w:pPr>
        <w:pStyle w:val="ListParagraph"/>
        <w:numPr>
          <w:ilvl w:val="0"/>
          <w:numId w:val="9"/>
        </w:numPr>
        <w:rPr>
          <w:lang w:val="es-ES"/>
        </w:rPr>
      </w:pPr>
      <w:r>
        <w:rPr>
          <w:lang w:val="es-ES"/>
        </w:rPr>
        <w:t>Gestión de la comunicación a la población</w:t>
      </w:r>
    </w:p>
    <w:p w:rsidR="002C5374" w:rsidRDefault="002C5374" w:rsidP="00565CEE">
      <w:pPr>
        <w:pStyle w:val="Heading3"/>
      </w:pPr>
      <w:bookmarkStart w:id="23" w:name="_Toc444607441"/>
      <w:r>
        <w:t>RESULTADOS DEL ANÁLISIS DE LOS ASPECTOS RELATIVOS A LA GESTIÓN DEL INCIDENTE</w:t>
      </w:r>
      <w:bookmarkEnd w:id="23"/>
    </w:p>
    <w:p w:rsidR="002C5374" w:rsidRDefault="002C5374" w:rsidP="005E3925">
      <w:pPr>
        <w:rPr>
          <w:rFonts w:cs="Times New Roman"/>
          <w:lang w:val="es-ES"/>
        </w:rPr>
      </w:pPr>
      <w:r w:rsidRPr="001F0EF6">
        <w:rPr>
          <w:lang w:val="es-ES"/>
        </w:rPr>
        <w:t>Las principales ideas que pueden extraerse del análisis realizado son las siguientes:</w:t>
      </w:r>
    </w:p>
    <w:p w:rsidR="002C5374" w:rsidRDefault="002C5374" w:rsidP="00565CEE">
      <w:pPr>
        <w:pStyle w:val="ListParagraph"/>
        <w:numPr>
          <w:ilvl w:val="0"/>
          <w:numId w:val="9"/>
        </w:numPr>
        <w:rPr>
          <w:lang w:val="es-ES"/>
        </w:rPr>
      </w:pPr>
      <w:r>
        <w:rPr>
          <w:lang w:val="es-ES"/>
        </w:rPr>
        <w:t>No consta que se realizase la purga y/o limpieza de tuberías que pudieron tener problemas derivados de agua con alta residencia (aguas estancadas) y que preveía el Protocolo de Autocontrol de Aguas de Cádiz</w:t>
      </w:r>
    </w:p>
    <w:p w:rsidR="002C5374" w:rsidRDefault="002C5374" w:rsidP="00565CEE">
      <w:pPr>
        <w:pStyle w:val="ListParagraph"/>
        <w:numPr>
          <w:ilvl w:val="0"/>
          <w:numId w:val="9"/>
        </w:numPr>
        <w:rPr>
          <w:lang w:val="es-ES"/>
        </w:rPr>
      </w:pPr>
      <w:r>
        <w:rPr>
          <w:lang w:val="es-ES"/>
        </w:rPr>
        <w:t>En la notificación a la autoridad sanitaria de la incidencia del día 3 de octubre no consta que se informase de los resultados de las analíticas 14/338 y 14/339 en las que se incumplen valores paramétricos de tipo A (microbiológicos)</w:t>
      </w:r>
    </w:p>
    <w:p w:rsidR="002C5374" w:rsidRDefault="002C5374" w:rsidP="00565CEE">
      <w:pPr>
        <w:pStyle w:val="ListParagraph"/>
        <w:numPr>
          <w:ilvl w:val="0"/>
          <w:numId w:val="9"/>
        </w:numPr>
        <w:rPr>
          <w:lang w:val="es-ES"/>
        </w:rPr>
      </w:pPr>
      <w:r>
        <w:rPr>
          <w:lang w:val="es-ES"/>
        </w:rPr>
        <w:t>Aunque se produjo una rápida y contundente movilización de recursos por parte de Aguas de Cádiz, no existió una coordinación efectiva entre las distintas áreas de la cadena de mando, pues la información relevante para la toma de decisiones no era conocida por todos los agentes indicados en la resolución del incidente</w:t>
      </w:r>
    </w:p>
    <w:p w:rsidR="002C5374" w:rsidRPr="00BB4F1F" w:rsidRDefault="002C5374" w:rsidP="00565CEE">
      <w:pPr>
        <w:pStyle w:val="ListParagraph"/>
        <w:numPr>
          <w:ilvl w:val="0"/>
          <w:numId w:val="9"/>
        </w:numPr>
        <w:rPr>
          <w:rFonts w:cs="Times New Roman"/>
          <w:lang w:val="es-ES"/>
        </w:rPr>
      </w:pPr>
      <w:r>
        <w:rPr>
          <w:lang w:val="es-ES"/>
        </w:rPr>
        <w:t>Aunque el laboratorio detectó un crecimiento anormal de bacterias aerobias desde los primeros días del incidente, la inexistencia reuniones de coordinación y puesta en común y por tanto de un asesoramiento eficaz en materia de calidad del agua dificultó que esta relevante información fuese  convenientemente transmitida en un primer momento y correctamente interpretada y asumida durante el incidente</w:t>
      </w:r>
    </w:p>
    <w:p w:rsidR="002C5374" w:rsidRDefault="002C5374" w:rsidP="00565CEE">
      <w:pPr>
        <w:rPr>
          <w:lang w:val="es-ES"/>
        </w:rPr>
      </w:pPr>
      <w:r>
        <w:rPr>
          <w:lang w:val="es-ES"/>
        </w:rPr>
        <w:t>En el apartado 4.4 del informe se recoge un desarrollo del análisis de los aspectos relativos a la gestión del incidente</w:t>
      </w:r>
    </w:p>
    <w:p w:rsidR="002C5374" w:rsidRPr="00565CEE" w:rsidRDefault="002C5374" w:rsidP="00565CEE">
      <w:pPr>
        <w:rPr>
          <w:rFonts w:cs="Times New Roman"/>
          <w:lang w:val="es-ES"/>
        </w:rPr>
      </w:pPr>
    </w:p>
    <w:p w:rsidR="002C5374" w:rsidRPr="00E93D93" w:rsidRDefault="002C5374" w:rsidP="00E74EE0">
      <w:pPr>
        <w:pStyle w:val="Heading2"/>
        <w:rPr>
          <w:b w:val="0"/>
          <w:bCs w:val="0"/>
          <w:lang w:val="es-ES"/>
        </w:rPr>
      </w:pPr>
      <w:bookmarkStart w:id="24" w:name="_Toc444607442"/>
      <w:r w:rsidRPr="00E93D93">
        <w:rPr>
          <w:b w:val="0"/>
          <w:bCs w:val="0"/>
          <w:lang w:val="es-ES"/>
        </w:rPr>
        <w:t>ANÁLISIS DE LOS ASPECTOS RELATIVOS A LOS GASTOS E INVERSIONES OCASIONADOS POR EL INCIDENTE</w:t>
      </w:r>
      <w:bookmarkEnd w:id="24"/>
    </w:p>
    <w:p w:rsidR="002C5374" w:rsidRDefault="002C5374" w:rsidP="00E74EE0">
      <w:pPr>
        <w:rPr>
          <w:lang w:val="es-ES"/>
        </w:rPr>
      </w:pPr>
      <w:r>
        <w:rPr>
          <w:lang w:val="es-ES"/>
        </w:rPr>
        <w:t>En este apartado se analizan las actuaciones que se realizaron, clasificadas según la naturaleza del gasto o la inversión correspondiente. Se han estudiado todos los conceptos que se derivaron de forma directa del incidente, diferenciando aquellos asociados al periodo del incidente y los posteriores a éste.</w:t>
      </w:r>
    </w:p>
    <w:p w:rsidR="002C5374" w:rsidRDefault="002C5374" w:rsidP="000011C1">
      <w:pPr>
        <w:pStyle w:val="Heading3"/>
      </w:pPr>
      <w:bookmarkStart w:id="25" w:name="_Toc444607443"/>
      <w:r>
        <w:t>RESULTADO DEL ANÁLISIS ECONÓMICO.</w:t>
      </w:r>
      <w:bookmarkEnd w:id="25"/>
    </w:p>
    <w:p w:rsidR="002C5374" w:rsidRDefault="002C5374" w:rsidP="00C73779">
      <w:pPr>
        <w:rPr>
          <w:lang w:val="es-ES"/>
        </w:rPr>
      </w:pPr>
      <w:r>
        <w:rPr>
          <w:lang w:val="es-ES"/>
        </w:rPr>
        <w:t>Durante la duración del incidente podemos clasificar los gastos o inversiones derivados deafrontar y resolver el incidente propiamente dicho y los derivados  de paliar los efectos del corte de suministro.</w:t>
      </w:r>
    </w:p>
    <w:p w:rsidR="002C5374" w:rsidRPr="000011C1" w:rsidRDefault="002C5374" w:rsidP="000011C1">
      <w:pPr>
        <w:rPr>
          <w:rFonts w:cs="Times New Roman"/>
          <w:lang w:val="es-ES"/>
        </w:rPr>
      </w:pPr>
      <w:r w:rsidRPr="00BB75AD">
        <w:rPr>
          <w:rFonts w:cs="Times New Roman"/>
          <w:noProof/>
          <w:lang w:val="es-ES" w:eastAsia="es-ES"/>
        </w:rPr>
        <w:pict>
          <v:shape id="Imagen 68" o:spid="_x0000_i1025" type="#_x0000_t75" style="width:452.25pt;height:104.25pt;visibility:visible">
            <v:imagedata r:id="rId11" o:title=""/>
          </v:shape>
        </w:pict>
      </w:r>
    </w:p>
    <w:p w:rsidR="002C5374" w:rsidRDefault="002C5374" w:rsidP="00E74EE0">
      <w:pPr>
        <w:rPr>
          <w:rFonts w:cs="Times New Roman"/>
          <w:highlight w:val="green"/>
          <w:lang w:val="es-ES"/>
        </w:rPr>
      </w:pPr>
      <w:r w:rsidRPr="00BB75AD">
        <w:rPr>
          <w:rFonts w:cs="Times New Roman"/>
          <w:noProof/>
          <w:lang w:val="es-ES" w:eastAsia="es-ES"/>
        </w:rPr>
        <w:pict>
          <v:shape id="Imagen 69" o:spid="_x0000_i1026" type="#_x0000_t75" style="width:452.25pt;height:81.75pt;visibility:visible">
            <v:imagedata r:id="rId12" o:title=""/>
          </v:shape>
        </w:pict>
      </w:r>
    </w:p>
    <w:p w:rsidR="002C5374" w:rsidRDefault="002C5374" w:rsidP="00E74EE0">
      <w:pPr>
        <w:rPr>
          <w:lang w:val="es-ES"/>
        </w:rPr>
      </w:pPr>
      <w:r>
        <w:rPr>
          <w:lang w:val="es-ES"/>
        </w:rPr>
        <w:t>Con posterioridad al incidentehubieron de afrontarse gastos, inversiones y mejoras en la red motivados por el incidente, que se relacionan a continuaciónclasificadas según su origen:</w:t>
      </w:r>
    </w:p>
    <w:p w:rsidR="002C5374" w:rsidRDefault="002C5374" w:rsidP="00E74EE0">
      <w:pPr>
        <w:rPr>
          <w:rFonts w:cs="Times New Roman"/>
          <w:lang w:val="es-ES"/>
        </w:rPr>
      </w:pPr>
      <w:r w:rsidRPr="00BB75AD">
        <w:rPr>
          <w:rFonts w:cs="Times New Roman"/>
          <w:noProof/>
          <w:lang w:val="es-ES" w:eastAsia="es-ES"/>
        </w:rPr>
        <w:pict>
          <v:shape id="Imagen 37" o:spid="_x0000_i1027" type="#_x0000_t75" style="width:452.25pt;height:48.75pt;visibility:visible">
            <v:imagedata r:id="rId13" o:title=""/>
          </v:shape>
        </w:pict>
      </w:r>
    </w:p>
    <w:p w:rsidR="002C5374" w:rsidRDefault="002C5374" w:rsidP="00E74EE0">
      <w:pPr>
        <w:rPr>
          <w:rFonts w:cs="Times New Roman"/>
          <w:lang w:val="es-ES"/>
        </w:rPr>
      </w:pPr>
    </w:p>
    <w:p w:rsidR="002C5374" w:rsidRDefault="002C5374" w:rsidP="00E74EE0">
      <w:pPr>
        <w:rPr>
          <w:rFonts w:cs="Times New Roman"/>
          <w:lang w:val="es-ES"/>
        </w:rPr>
      </w:pPr>
      <w:r w:rsidRPr="00BB75AD">
        <w:rPr>
          <w:rFonts w:cs="Times New Roman"/>
          <w:noProof/>
          <w:lang w:val="es-ES" w:eastAsia="es-ES"/>
        </w:rPr>
        <w:pict>
          <v:shape id="Imagen 58" o:spid="_x0000_i1028" type="#_x0000_t75" style="width:452.25pt;height:48.75pt;visibility:visible">
            <v:imagedata r:id="rId14" o:title=""/>
          </v:shape>
        </w:pict>
      </w:r>
    </w:p>
    <w:p w:rsidR="002C5374" w:rsidRDefault="002C5374" w:rsidP="00E74EE0">
      <w:pPr>
        <w:rPr>
          <w:rFonts w:cs="Times New Roman"/>
          <w:lang w:val="es-ES"/>
        </w:rPr>
      </w:pPr>
    </w:p>
    <w:p w:rsidR="002C5374" w:rsidRDefault="002C5374" w:rsidP="00E74EE0">
      <w:pPr>
        <w:rPr>
          <w:rFonts w:cs="Times New Roman"/>
          <w:lang w:val="es-ES"/>
        </w:rPr>
      </w:pPr>
      <w:r w:rsidRPr="00BB75AD">
        <w:rPr>
          <w:rFonts w:cs="Times New Roman"/>
          <w:noProof/>
          <w:lang w:val="es-ES" w:eastAsia="es-ES"/>
        </w:rPr>
        <w:pict>
          <v:shape id="Imagen 63" o:spid="_x0000_i1029" type="#_x0000_t75" style="width:452.25pt;height:48.75pt;visibility:visible">
            <v:imagedata r:id="rId15" o:title=""/>
          </v:shape>
        </w:pict>
      </w:r>
    </w:p>
    <w:p w:rsidR="002C5374" w:rsidRPr="005E3925" w:rsidRDefault="002C5374" w:rsidP="00E74EE0">
      <w:pPr>
        <w:rPr>
          <w:lang w:val="es-ES"/>
        </w:rPr>
      </w:pPr>
      <w:r w:rsidRPr="005E3925">
        <w:rPr>
          <w:lang w:val="es-ES"/>
        </w:rPr>
        <w:t>De los cuadros anteriores, podemos extraer las siguientes ideas principales en relación con el destino de los gastos e inversiones derivados del incidente:</w:t>
      </w:r>
    </w:p>
    <w:p w:rsidR="002C5374" w:rsidRPr="005E3925" w:rsidRDefault="002C5374" w:rsidP="00CE6D07">
      <w:pPr>
        <w:numPr>
          <w:ilvl w:val="0"/>
          <w:numId w:val="9"/>
        </w:numPr>
        <w:spacing w:after="240"/>
        <w:ind w:left="714" w:hanging="357"/>
        <w:rPr>
          <w:lang w:val="es-ES"/>
        </w:rPr>
      </w:pPr>
      <w:r w:rsidRPr="005E3925">
        <w:rPr>
          <w:lang w:val="es-ES"/>
        </w:rPr>
        <w:t>De los 563.933,55 € gastados durante el incidente 342.164,07 €, es decir el 60,7% se empleó en paliar los efectos del corte de suministro a la población afectada. El 39,3% restante (221.769,48 €) se destinó a aquellas actuaciones encaminadas a la resolución propiamente dicha del incidente</w:t>
      </w:r>
    </w:p>
    <w:p w:rsidR="002C5374" w:rsidRPr="005E3925" w:rsidRDefault="002C5374" w:rsidP="00CE6D07">
      <w:pPr>
        <w:numPr>
          <w:ilvl w:val="0"/>
          <w:numId w:val="9"/>
        </w:numPr>
        <w:spacing w:after="240"/>
        <w:ind w:left="714" w:hanging="357"/>
        <w:rPr>
          <w:lang w:val="es-ES"/>
        </w:rPr>
      </w:pPr>
      <w:r w:rsidRPr="005E3925">
        <w:rPr>
          <w:lang w:val="es-ES"/>
        </w:rPr>
        <w:t>De los 742.649,39 €aplicadoscon posterioridad al incidente, 330.216,22 €, el 44,46 % se empleó en mejoras en las instalaciones interiores de los edificios de la zona afectada, 315.725,17 €, el 42,51 % se destinó a obras de sustitución de la red del sector, y el 13,03 % restante (96.708,00 €) se destinóa la realización de analíticas de seguimiento y gastos jurídicos</w:t>
      </w:r>
    </w:p>
    <w:p w:rsidR="002C5374" w:rsidRPr="005E3925" w:rsidRDefault="002C5374" w:rsidP="00FC14D5">
      <w:pPr>
        <w:rPr>
          <w:lang w:val="es-ES"/>
        </w:rPr>
      </w:pPr>
      <w:r w:rsidRPr="005E3925">
        <w:rPr>
          <w:lang w:val="es-ES"/>
        </w:rPr>
        <w:t>En relación con las cuentas anuales de Aguas de Cádiz de los años 2014 y 2015 (previsión), podemos extraer las siguientes ideas</w:t>
      </w:r>
    </w:p>
    <w:p w:rsidR="002C5374" w:rsidRPr="005E3925" w:rsidRDefault="002C5374" w:rsidP="00CE6D07">
      <w:pPr>
        <w:numPr>
          <w:ilvl w:val="0"/>
          <w:numId w:val="9"/>
        </w:numPr>
        <w:spacing w:after="240"/>
        <w:ind w:left="714" w:hanging="357"/>
        <w:rPr>
          <w:lang w:val="es-ES"/>
        </w:rPr>
      </w:pPr>
      <w:r w:rsidRPr="005E3925">
        <w:rPr>
          <w:lang w:val="es-ES"/>
        </w:rPr>
        <w:t>En el año 2014 se consignaron 485.100 € en concepto de gastos de gestión extraordinarios,frente a los 9.356 € del año 2013. Esta cantidad es directamente imputable al incidente</w:t>
      </w:r>
    </w:p>
    <w:p w:rsidR="002C5374" w:rsidRPr="005E3925" w:rsidRDefault="002C5374" w:rsidP="00CE6D07">
      <w:pPr>
        <w:numPr>
          <w:ilvl w:val="0"/>
          <w:numId w:val="9"/>
        </w:numPr>
        <w:spacing w:after="240"/>
        <w:ind w:left="714" w:hanging="357"/>
        <w:rPr>
          <w:lang w:val="es-ES"/>
        </w:rPr>
      </w:pPr>
      <w:r w:rsidRPr="005E3925">
        <w:rPr>
          <w:lang w:val="es-ES"/>
        </w:rPr>
        <w:t>En el año 2015 se realizaron inversiones y mejoras en la red por valor de 645.941,39 € como consecuencia directa del incidente</w:t>
      </w:r>
    </w:p>
    <w:p w:rsidR="002C5374" w:rsidRPr="005E3925" w:rsidRDefault="002C5374" w:rsidP="0040561A">
      <w:pPr>
        <w:numPr>
          <w:ilvl w:val="0"/>
          <w:numId w:val="9"/>
        </w:numPr>
        <w:spacing w:after="240"/>
        <w:ind w:left="714" w:hanging="357"/>
        <w:rPr>
          <w:lang w:val="es-ES"/>
        </w:rPr>
      </w:pPr>
      <w:r w:rsidRPr="005E3925">
        <w:rPr>
          <w:lang w:val="es-ES"/>
        </w:rPr>
        <w:t>En el año 2015 se incurrieron en gastos por importe de 96.708,00 € directamente relacionados con el incidente</w:t>
      </w:r>
    </w:p>
    <w:p w:rsidR="002C5374" w:rsidRDefault="002C5374" w:rsidP="0040561A">
      <w:pPr>
        <w:spacing w:after="240"/>
        <w:rPr>
          <w:rFonts w:cs="Times New Roman"/>
          <w:lang w:val="es-ES"/>
        </w:rPr>
      </w:pPr>
    </w:p>
    <w:p w:rsidR="002C5374" w:rsidRPr="00C403F2" w:rsidRDefault="002C5374" w:rsidP="0040561A">
      <w:pPr>
        <w:pStyle w:val="Heading1"/>
        <w:rPr>
          <w:lang w:val="es-ES"/>
        </w:rPr>
      </w:pPr>
      <w:bookmarkStart w:id="26" w:name="_Toc442150366"/>
      <w:bookmarkStart w:id="27" w:name="_Toc444607444"/>
      <w:r w:rsidRPr="00C403F2">
        <w:rPr>
          <w:lang w:val="es-ES"/>
        </w:rPr>
        <w:t>VALORACIÓN DEL ANÁLISIS</w:t>
      </w:r>
      <w:bookmarkEnd w:id="26"/>
      <w:bookmarkEnd w:id="27"/>
    </w:p>
    <w:p w:rsidR="002C5374" w:rsidRDefault="002C5374" w:rsidP="00C403F2">
      <w:pPr>
        <w:rPr>
          <w:lang w:val="es-ES"/>
        </w:rPr>
      </w:pPr>
      <w:r>
        <w:rPr>
          <w:lang w:val="es-ES"/>
        </w:rPr>
        <w:t>Partiendo del análisis efectuado en el capítulo4y apoyándonos enla visión de conjunto que ya se tiene del incidente, se exponen a continuación una serie de consideraciones que permiten una mayoraproximación a los objetivos del informe:</w:t>
      </w:r>
    </w:p>
    <w:p w:rsidR="002C5374" w:rsidRDefault="002C5374" w:rsidP="00844A51">
      <w:pPr>
        <w:pStyle w:val="ListParagraph"/>
        <w:numPr>
          <w:ilvl w:val="0"/>
          <w:numId w:val="9"/>
        </w:numPr>
        <w:rPr>
          <w:lang w:val="es-ES"/>
        </w:rPr>
      </w:pPr>
      <w:r>
        <w:rPr>
          <w:lang w:val="es-ES"/>
        </w:rPr>
        <w:t>Estudiar y esclarecerlas causas del incidente, ponderando las distintas hipótesis que se han manejado sobre su origen</w:t>
      </w:r>
    </w:p>
    <w:p w:rsidR="002C5374" w:rsidRDefault="002C5374" w:rsidP="00844A51">
      <w:pPr>
        <w:pStyle w:val="ListParagraph"/>
        <w:numPr>
          <w:ilvl w:val="0"/>
          <w:numId w:val="9"/>
        </w:numPr>
        <w:rPr>
          <w:lang w:val="es-ES"/>
        </w:rPr>
      </w:pPr>
      <w:r>
        <w:rPr>
          <w:lang w:val="es-ES"/>
        </w:rPr>
        <w:t>Estudiar y esclarecer  la gestión técnica y económica del incidente, identificando las actuaciones que mayor relevancia tuvieron en el desarrollo del incidente y en el empleo de los recursos de la empresa.</w:t>
      </w:r>
    </w:p>
    <w:p w:rsidR="002C5374" w:rsidRPr="00BB2A9F" w:rsidRDefault="002C5374" w:rsidP="00BB2A9F">
      <w:pPr>
        <w:rPr>
          <w:rFonts w:cs="Times New Roman"/>
          <w:lang w:val="es-ES"/>
        </w:rPr>
      </w:pPr>
    </w:p>
    <w:p w:rsidR="002C5374" w:rsidRPr="00F82E9C" w:rsidRDefault="002C5374" w:rsidP="00B0088E">
      <w:pPr>
        <w:pStyle w:val="Heading2"/>
        <w:rPr>
          <w:b w:val="0"/>
          <w:bCs w:val="0"/>
          <w:lang w:val="es-ES"/>
        </w:rPr>
      </w:pPr>
      <w:bookmarkStart w:id="28" w:name="_Toc444607445"/>
      <w:r>
        <w:rPr>
          <w:b w:val="0"/>
          <w:bCs w:val="0"/>
          <w:lang w:val="es-ES"/>
        </w:rPr>
        <w:t xml:space="preserve">VALORACIÓN DE LAS HIPÓTESIS ACERCA DE LAS CAUSAS </w:t>
      </w:r>
      <w:r w:rsidRPr="00F82E9C">
        <w:rPr>
          <w:b w:val="0"/>
          <w:bCs w:val="0"/>
          <w:lang w:val="es-ES"/>
        </w:rPr>
        <w:t>DEL INCIDENTE</w:t>
      </w:r>
      <w:bookmarkEnd w:id="28"/>
    </w:p>
    <w:p w:rsidR="002C5374" w:rsidRDefault="002C5374" w:rsidP="00C403F2">
      <w:pPr>
        <w:rPr>
          <w:lang w:val="es-ES"/>
        </w:rPr>
      </w:pPr>
      <w:r>
        <w:rPr>
          <w:lang w:val="es-ES"/>
        </w:rPr>
        <w:t>De acuerdo con la información manejada en los capítulos 2 y 3 del informe, así como el análisis efectuado en los apartados 4.2 y 4.3, se valoraron las siguientes hipótesis:</w:t>
      </w:r>
    </w:p>
    <w:p w:rsidR="002C5374" w:rsidRDefault="002C5374" w:rsidP="00844A51">
      <w:pPr>
        <w:pStyle w:val="ListParagraph"/>
        <w:numPr>
          <w:ilvl w:val="0"/>
          <w:numId w:val="9"/>
        </w:numPr>
        <w:rPr>
          <w:lang w:val="es-ES"/>
        </w:rPr>
      </w:pPr>
      <w:r w:rsidRPr="00180FCC">
        <w:rPr>
          <w:lang w:val="es-ES"/>
        </w:rPr>
        <w:t>El in</w:t>
      </w:r>
      <w:r>
        <w:rPr>
          <w:lang w:val="es-ES"/>
        </w:rPr>
        <w:t>cidente se produce al abrir la denominada ‘válvula de los depósitos de tabacos’</w:t>
      </w:r>
    </w:p>
    <w:p w:rsidR="002C5374" w:rsidRDefault="002C5374" w:rsidP="00844A51">
      <w:pPr>
        <w:pStyle w:val="ListParagraph"/>
        <w:numPr>
          <w:ilvl w:val="0"/>
          <w:numId w:val="9"/>
        </w:numPr>
        <w:rPr>
          <w:lang w:val="es-ES"/>
        </w:rPr>
      </w:pPr>
      <w:r>
        <w:rPr>
          <w:lang w:val="es-ES"/>
        </w:rPr>
        <w:t>El incidente se origina en la avería de la instalación interior de la finca de la calle Hermanos Ortiz Echagüe, 8</w:t>
      </w:r>
    </w:p>
    <w:p w:rsidR="002C5374" w:rsidRDefault="002C5374" w:rsidP="00844A51">
      <w:pPr>
        <w:pStyle w:val="ListParagraph"/>
        <w:numPr>
          <w:ilvl w:val="0"/>
          <w:numId w:val="9"/>
        </w:numPr>
        <w:rPr>
          <w:lang w:val="es-ES"/>
        </w:rPr>
      </w:pPr>
      <w:r>
        <w:rPr>
          <w:lang w:val="es-ES"/>
        </w:rPr>
        <w:t>El incidente se produce por la inyección a la red de agua contaminada procedente de una instalación interior dotada de grupo de bombeo</w:t>
      </w:r>
    </w:p>
    <w:p w:rsidR="002C5374" w:rsidRDefault="002C5374" w:rsidP="00844A51">
      <w:pPr>
        <w:pStyle w:val="ListParagraph"/>
        <w:numPr>
          <w:ilvl w:val="0"/>
          <w:numId w:val="9"/>
        </w:numPr>
        <w:rPr>
          <w:lang w:val="es-ES"/>
        </w:rPr>
      </w:pPr>
      <w:r>
        <w:rPr>
          <w:lang w:val="es-ES"/>
        </w:rPr>
        <w:t>El incidente se produce por la absorción de lixiviados en algún tramo de la red que eventualmente entra en depresión por transitorios</w:t>
      </w:r>
    </w:p>
    <w:p w:rsidR="002C5374" w:rsidRDefault="002C5374" w:rsidP="00844A51">
      <w:pPr>
        <w:pStyle w:val="ListParagraph"/>
        <w:numPr>
          <w:ilvl w:val="0"/>
          <w:numId w:val="9"/>
        </w:numPr>
        <w:rPr>
          <w:lang w:val="es-ES"/>
        </w:rPr>
      </w:pPr>
      <w:r>
        <w:rPr>
          <w:lang w:val="es-ES"/>
        </w:rPr>
        <w:t>El incidente se origina en la avería que se produce en la red de abastecimiento el día 9 de octubre de 2014 en el denominado ‘Callejón de la ONCE’</w:t>
      </w:r>
    </w:p>
    <w:p w:rsidR="002C5374" w:rsidRDefault="002C5374" w:rsidP="00844A51">
      <w:pPr>
        <w:pStyle w:val="ListParagraph"/>
        <w:numPr>
          <w:ilvl w:val="0"/>
          <w:numId w:val="9"/>
        </w:numPr>
        <w:rPr>
          <w:lang w:val="es-ES"/>
        </w:rPr>
      </w:pPr>
      <w:r>
        <w:rPr>
          <w:lang w:val="es-ES"/>
        </w:rPr>
        <w:t>El incidente se origina en la avería que se produce en la red de abastecimiento el día 11 de octubre de 2014  en la calle Héroes de la Aviación Española, números 7 y 9</w:t>
      </w:r>
    </w:p>
    <w:p w:rsidR="002C5374" w:rsidRDefault="002C5374" w:rsidP="00844A51">
      <w:pPr>
        <w:pStyle w:val="ListParagraph"/>
        <w:numPr>
          <w:ilvl w:val="0"/>
          <w:numId w:val="9"/>
        </w:numPr>
        <w:rPr>
          <w:lang w:val="es-ES"/>
        </w:rPr>
      </w:pPr>
      <w:r>
        <w:rPr>
          <w:lang w:val="es-ES"/>
        </w:rPr>
        <w:t xml:space="preserve">El incidente se origina en una atarjea de saneamiento que se encuentra frente a la Parroquia Nuestra Señora de Loreto </w:t>
      </w:r>
    </w:p>
    <w:p w:rsidR="002C5374" w:rsidRDefault="002C5374" w:rsidP="00844A51">
      <w:pPr>
        <w:pStyle w:val="ListParagraph"/>
        <w:numPr>
          <w:ilvl w:val="0"/>
          <w:numId w:val="9"/>
        </w:numPr>
        <w:rPr>
          <w:lang w:val="es-ES"/>
        </w:rPr>
      </w:pPr>
      <w:r>
        <w:rPr>
          <w:lang w:val="es-ES"/>
        </w:rPr>
        <w:t>El incidente se debe a un error sistemático del laboratorio que realiza los análisis</w:t>
      </w:r>
    </w:p>
    <w:p w:rsidR="002C5374" w:rsidRPr="00180FCC" w:rsidRDefault="002C5374" w:rsidP="00844A51">
      <w:pPr>
        <w:pStyle w:val="ListParagraph"/>
        <w:numPr>
          <w:ilvl w:val="0"/>
          <w:numId w:val="9"/>
        </w:numPr>
        <w:rPr>
          <w:rFonts w:cs="Times New Roman"/>
          <w:lang w:val="es-ES"/>
        </w:rPr>
      </w:pPr>
      <w:r>
        <w:rPr>
          <w:lang w:val="es-ES"/>
        </w:rPr>
        <w:t>El incidente se produce por la movilización de aguas estancadascon desprendimiento de biopelícula al maniobrar las válvulas de la red</w:t>
      </w:r>
    </w:p>
    <w:p w:rsidR="002C5374" w:rsidRPr="00210BF3" w:rsidRDefault="002C5374" w:rsidP="00825A5F">
      <w:pPr>
        <w:rPr>
          <w:rFonts w:cs="Times New Roman"/>
          <w:highlight w:val="yellow"/>
          <w:lang w:val="es-ES"/>
        </w:rPr>
      </w:pPr>
    </w:p>
    <w:p w:rsidR="002C5374" w:rsidRPr="00112042" w:rsidRDefault="002C5374" w:rsidP="00112042">
      <w:pPr>
        <w:pStyle w:val="Heading2"/>
        <w:rPr>
          <w:b w:val="0"/>
          <w:bCs w:val="0"/>
          <w:lang w:val="es-ES"/>
        </w:rPr>
      </w:pPr>
      <w:bookmarkStart w:id="29" w:name="_Toc444607446"/>
      <w:r w:rsidRPr="00112042">
        <w:rPr>
          <w:b w:val="0"/>
          <w:bCs w:val="0"/>
          <w:lang w:val="es-ES"/>
        </w:rPr>
        <w:t>RESUMEN DE LA VALORACIÓN DE LAS CAUSAS DEL INCIDENTE</w:t>
      </w:r>
      <w:bookmarkEnd w:id="29"/>
    </w:p>
    <w:p w:rsidR="002C5374" w:rsidRPr="00E50223" w:rsidRDefault="002C5374" w:rsidP="00E50223">
      <w:pPr>
        <w:spacing w:after="120"/>
        <w:ind w:left="357"/>
        <w:rPr>
          <w:rFonts w:cs="Times New Roman"/>
          <w:lang w:val="es-ES"/>
        </w:rPr>
      </w:pPr>
      <w:r>
        <w:rPr>
          <w:lang w:val="es-ES"/>
        </w:rPr>
        <w:t>Se expone a continuación de forma resumida la valoración de las hipótesisque se realizó, adjudicando a cada una de éstas un grado de probabilidad de tener alguna relación con el origen del incidente.</w:t>
      </w:r>
    </w:p>
    <w:p w:rsidR="002C5374" w:rsidRPr="00825A5F" w:rsidRDefault="002C5374" w:rsidP="00844A51">
      <w:pPr>
        <w:numPr>
          <w:ilvl w:val="0"/>
          <w:numId w:val="9"/>
        </w:numPr>
        <w:spacing w:after="120"/>
        <w:ind w:left="714" w:hanging="357"/>
        <w:rPr>
          <w:rFonts w:cs="Times New Roman"/>
          <w:u w:val="single"/>
          <w:lang w:val="es-ES"/>
        </w:rPr>
      </w:pPr>
      <w:r w:rsidRPr="00825A5F">
        <w:rPr>
          <w:u w:val="single"/>
          <w:lang w:val="es-ES"/>
        </w:rPr>
        <w:t>El incidente se produce al abrir la denominada ‘válvula de los depósitos de Tabacalera’</w:t>
      </w:r>
      <w:r>
        <w:rPr>
          <w:lang w:val="es-ES"/>
        </w:rPr>
        <w:t xml:space="preserve">: esta hipótesis queda </w:t>
      </w:r>
      <w:r w:rsidRPr="00440CB9">
        <w:rPr>
          <w:b/>
          <w:bCs/>
          <w:lang w:val="es-ES"/>
        </w:rPr>
        <w:t>descartada totalmente</w:t>
      </w:r>
      <w:r>
        <w:rPr>
          <w:lang w:val="es-ES"/>
        </w:rPr>
        <w:t xml:space="preserve"> al estar desconectadas la red de tabacalera de la</w:t>
      </w:r>
      <w:r w:rsidRPr="00825A5F">
        <w:rPr>
          <w:lang w:val="es-ES"/>
        </w:rPr>
        <w:t xml:space="preserve"> de </w:t>
      </w:r>
      <w:r>
        <w:rPr>
          <w:lang w:val="es-ES"/>
        </w:rPr>
        <w:t>Aguas de Cádiz</w:t>
      </w:r>
      <w:r w:rsidRPr="00825A5F">
        <w:rPr>
          <w:lang w:val="es-ES"/>
        </w:rPr>
        <w:t>.</w:t>
      </w:r>
    </w:p>
    <w:p w:rsidR="002C5374" w:rsidRPr="00825A5F" w:rsidRDefault="002C5374" w:rsidP="00844A51">
      <w:pPr>
        <w:numPr>
          <w:ilvl w:val="0"/>
          <w:numId w:val="9"/>
        </w:numPr>
        <w:spacing w:after="240"/>
        <w:ind w:left="714" w:hanging="357"/>
        <w:rPr>
          <w:lang w:val="es-ES"/>
        </w:rPr>
      </w:pPr>
      <w:r w:rsidRPr="00825A5F">
        <w:rPr>
          <w:u w:val="single"/>
          <w:lang w:val="es-ES"/>
        </w:rPr>
        <w:t>El incidente  se origina en la avería de la instalación interior de la finca de la calle Hermanos Ortiz Echagüe, 8</w:t>
      </w:r>
      <w:r>
        <w:rPr>
          <w:lang w:val="es-ES"/>
        </w:rPr>
        <w:t xml:space="preserve">: </w:t>
      </w:r>
      <w:r w:rsidRPr="00AF7302">
        <w:rPr>
          <w:b/>
          <w:bCs/>
          <w:lang w:val="es-ES"/>
        </w:rPr>
        <w:t>esta hipótesis se descarta totalmente</w:t>
      </w:r>
      <w:r>
        <w:rPr>
          <w:lang w:val="es-ES"/>
        </w:rPr>
        <w:t>, porque e</w:t>
      </w:r>
      <w:r w:rsidRPr="00825A5F">
        <w:rPr>
          <w:lang w:val="es-ES"/>
        </w:rPr>
        <w:t>s incoherente con el sentido del flujo</w:t>
      </w:r>
      <w:r>
        <w:rPr>
          <w:lang w:val="es-ES"/>
        </w:rPr>
        <w:t xml:space="preserve"> de la red</w:t>
      </w:r>
      <w:r w:rsidRPr="00825A5F">
        <w:rPr>
          <w:lang w:val="es-ES"/>
        </w:rPr>
        <w:t xml:space="preserve">, </w:t>
      </w:r>
      <w:r>
        <w:rPr>
          <w:lang w:val="es-ES"/>
        </w:rPr>
        <w:t>y se ha demostrado que no</w:t>
      </w:r>
      <w:r w:rsidRPr="00825A5F">
        <w:rPr>
          <w:lang w:val="es-ES"/>
        </w:rPr>
        <w:t xml:space="preserve"> es posible cambiar el sentido de flujo</w:t>
      </w:r>
      <w:r>
        <w:rPr>
          <w:lang w:val="es-ES"/>
        </w:rPr>
        <w:t xml:space="preserve"> ni siquiera temporalmente</w:t>
      </w:r>
      <w:r w:rsidRPr="00825A5F">
        <w:rPr>
          <w:lang w:val="es-ES"/>
        </w:rPr>
        <w:t xml:space="preserve">. </w:t>
      </w:r>
      <w:r>
        <w:rPr>
          <w:lang w:val="es-ES"/>
        </w:rPr>
        <w:t>Adicionalmente a lo anterior, la instalación interior en cuestión f</w:t>
      </w:r>
      <w:r w:rsidRPr="00825A5F">
        <w:rPr>
          <w:lang w:val="es-ES"/>
        </w:rPr>
        <w:t xml:space="preserve">ue inspeccionada por técnicos de la </w:t>
      </w:r>
      <w:r>
        <w:rPr>
          <w:lang w:val="es-ES"/>
        </w:rPr>
        <w:t>autoridad sanitaria durante la fase 2 del incidente,‘</w:t>
      </w:r>
      <w:r w:rsidRPr="00825A5F">
        <w:rPr>
          <w:lang w:val="es-ES"/>
        </w:rPr>
        <w:t>detectando escasas fisuras en la tubería, situación por encima de la red de saneamiento, escaso</w:t>
      </w:r>
      <w:r>
        <w:rPr>
          <w:lang w:val="es-ES"/>
        </w:rPr>
        <w:t xml:space="preserve"> tamaño de la tubería, llegando a la conclusión de es</w:t>
      </w:r>
      <w:r w:rsidRPr="00825A5F">
        <w:rPr>
          <w:lang w:val="es-ES"/>
        </w:rPr>
        <w:t xml:space="preserve"> inviable generar el volumen suficiente de agua contaminada y </w:t>
      </w:r>
      <w:r>
        <w:rPr>
          <w:lang w:val="es-ES"/>
        </w:rPr>
        <w:t xml:space="preserve">con </w:t>
      </w:r>
      <w:r w:rsidRPr="00825A5F">
        <w:rPr>
          <w:lang w:val="es-ES"/>
        </w:rPr>
        <w:t>potencia de entrada en la red como para contaminar las aguas potables de toda la barriada</w:t>
      </w:r>
      <w:r>
        <w:rPr>
          <w:lang w:val="es-ES"/>
        </w:rPr>
        <w:t>’</w:t>
      </w:r>
      <w:r w:rsidRPr="00825A5F">
        <w:rPr>
          <w:lang w:val="es-ES"/>
        </w:rPr>
        <w:t xml:space="preserve">. </w:t>
      </w:r>
    </w:p>
    <w:p w:rsidR="002C5374" w:rsidRPr="00825A5F" w:rsidRDefault="002C5374" w:rsidP="00844A51">
      <w:pPr>
        <w:numPr>
          <w:ilvl w:val="0"/>
          <w:numId w:val="9"/>
        </w:numPr>
        <w:spacing w:after="240"/>
        <w:ind w:left="714" w:hanging="357"/>
        <w:rPr>
          <w:rFonts w:cs="Times New Roman"/>
          <w:lang w:val="es-ES"/>
        </w:rPr>
      </w:pPr>
      <w:r w:rsidRPr="00825A5F">
        <w:rPr>
          <w:u w:val="single"/>
          <w:lang w:val="es-ES"/>
        </w:rPr>
        <w:t>El incidente se produce por la inyección a la red de agua contaminada procedente de una instalación interior dotada de grupo de bombeo</w:t>
      </w:r>
      <w:r w:rsidRPr="00825A5F">
        <w:rPr>
          <w:lang w:val="es-ES"/>
        </w:rPr>
        <w:t xml:space="preserve">: esta hipótesis es </w:t>
      </w:r>
      <w:r w:rsidRPr="00440CB9">
        <w:rPr>
          <w:b/>
          <w:bCs/>
          <w:lang w:val="es-ES"/>
        </w:rPr>
        <w:t>improbable</w:t>
      </w:r>
      <w:r w:rsidRPr="00825A5F">
        <w:rPr>
          <w:b/>
          <w:bCs/>
          <w:i/>
          <w:iCs/>
          <w:lang w:val="es-ES"/>
        </w:rPr>
        <w:t xml:space="preserve">. </w:t>
      </w:r>
      <w:r w:rsidRPr="00825A5F">
        <w:rPr>
          <w:lang w:val="es-ES"/>
        </w:rPr>
        <w:t>Si bien técnicamente es posible, recordamos que en primera instancia el equipo de téc</w:t>
      </w:r>
      <w:r>
        <w:rPr>
          <w:lang w:val="es-ES"/>
        </w:rPr>
        <w:t>nicos de Aguas de Cádiz, realizó una</w:t>
      </w:r>
      <w:r w:rsidRPr="00825A5F">
        <w:rPr>
          <w:lang w:val="es-ES"/>
        </w:rPr>
        <w:t xml:space="preserve"> investigación concienzuda y detallada</w:t>
      </w:r>
      <w:r>
        <w:rPr>
          <w:lang w:val="es-ES"/>
        </w:rPr>
        <w:t xml:space="preserve"> visitando </w:t>
      </w:r>
      <w:r w:rsidRPr="00825A5F">
        <w:rPr>
          <w:lang w:val="es-ES"/>
        </w:rPr>
        <w:t xml:space="preserve">todas aquellas  instalaciones que potencialmente cumplían los requisitos </w:t>
      </w:r>
      <w:r>
        <w:rPr>
          <w:lang w:val="es-ES"/>
        </w:rPr>
        <w:t>técnicos necesarios.</w:t>
      </w:r>
      <w:r w:rsidRPr="00825A5F">
        <w:rPr>
          <w:lang w:val="es-ES"/>
        </w:rPr>
        <w:t xml:space="preserve"> Igualmente es improbable que la duración del incidente pueda justificarse con la puesta en contacto de un sólo depósito/aljibe, por grande que este fuera, con la red de </w:t>
      </w:r>
      <w:r>
        <w:rPr>
          <w:lang w:val="es-ES"/>
        </w:rPr>
        <w:t>Aguas de Cádiz</w:t>
      </w:r>
      <w:r w:rsidRPr="00825A5F">
        <w:rPr>
          <w:lang w:val="es-ES"/>
        </w:rPr>
        <w:t xml:space="preserve">, más si tenemos en cuenta  la </w:t>
      </w:r>
      <w:r>
        <w:rPr>
          <w:lang w:val="es-ES"/>
        </w:rPr>
        <w:t>dimensióny duración de la contaminación asociada al incidente.</w:t>
      </w:r>
    </w:p>
    <w:p w:rsidR="002C5374" w:rsidRPr="00825A5F" w:rsidRDefault="002C5374" w:rsidP="00844A51">
      <w:pPr>
        <w:numPr>
          <w:ilvl w:val="0"/>
          <w:numId w:val="9"/>
        </w:numPr>
        <w:spacing w:after="240"/>
        <w:ind w:left="714" w:hanging="357"/>
        <w:rPr>
          <w:rFonts w:cs="Times New Roman"/>
          <w:lang w:val="es-ES"/>
        </w:rPr>
      </w:pPr>
      <w:r w:rsidRPr="00825A5F">
        <w:rPr>
          <w:u w:val="single"/>
          <w:lang w:val="es-ES"/>
        </w:rPr>
        <w:t>El incidente se produce por la absorción de lixiviados en algún tramo de la red que entrase en depresión por transitorios</w:t>
      </w:r>
      <w:r>
        <w:rPr>
          <w:lang w:val="es-ES"/>
        </w:rPr>
        <w:t xml:space="preserve">: esta hipótesis queda </w:t>
      </w:r>
      <w:r w:rsidRPr="00440CB9">
        <w:rPr>
          <w:b/>
          <w:bCs/>
          <w:lang w:val="es-ES"/>
        </w:rPr>
        <w:t>descartada totalmente</w:t>
      </w:r>
      <w:r w:rsidRPr="00825A5F">
        <w:rPr>
          <w:lang w:val="es-ES"/>
        </w:rPr>
        <w:t xml:space="preserve"> tras su justificación técnica. Tanto las tubería de fundición como las de fibrocemento son del tipo “rígidas”, por lo que las longitudes críticas son muy largas y por t</w:t>
      </w:r>
      <w:r>
        <w:rPr>
          <w:lang w:val="es-ES"/>
        </w:rPr>
        <w:t xml:space="preserve">anto las subpresiones pequeñas, no pudiendo crearse presiones negativas en la red. </w:t>
      </w:r>
    </w:p>
    <w:p w:rsidR="002C5374" w:rsidRDefault="002C5374" w:rsidP="00844A51">
      <w:pPr>
        <w:numPr>
          <w:ilvl w:val="0"/>
          <w:numId w:val="9"/>
        </w:numPr>
        <w:spacing w:after="240"/>
        <w:ind w:left="714" w:hanging="357"/>
        <w:rPr>
          <w:rFonts w:cs="Times New Roman"/>
          <w:lang w:val="es-ES"/>
        </w:rPr>
      </w:pPr>
      <w:r w:rsidRPr="00825A5F">
        <w:rPr>
          <w:u w:val="single"/>
          <w:lang w:val="es-ES"/>
        </w:rPr>
        <w:t>El incidente se origina en la avería que se produce en la red de abastecimiento el día 9 de octubre de 2014 en el denominado ‘Callejón de la ONCE’</w:t>
      </w:r>
      <w:r w:rsidRPr="00825A5F">
        <w:rPr>
          <w:lang w:val="es-ES"/>
        </w:rPr>
        <w:t xml:space="preserve">: esta hipótesis es </w:t>
      </w:r>
      <w:r>
        <w:rPr>
          <w:b/>
          <w:bCs/>
          <w:lang w:val="es-ES"/>
        </w:rPr>
        <w:t>muy</w:t>
      </w:r>
      <w:r w:rsidRPr="00440CB9">
        <w:rPr>
          <w:b/>
          <w:bCs/>
          <w:lang w:val="es-ES"/>
        </w:rPr>
        <w:t xml:space="preserve"> improbable</w:t>
      </w:r>
      <w:r w:rsidRPr="00825A5F">
        <w:rPr>
          <w:b/>
          <w:bCs/>
          <w:i/>
          <w:iCs/>
          <w:lang w:val="es-ES"/>
        </w:rPr>
        <w:t xml:space="preserve">, </w:t>
      </w:r>
      <w:r w:rsidRPr="00825A5F">
        <w:rPr>
          <w:lang w:val="es-ES"/>
        </w:rPr>
        <w:t>pues no justifica las analíticas anteriores</w:t>
      </w:r>
      <w:r>
        <w:rPr>
          <w:lang w:val="es-ES"/>
        </w:rPr>
        <w:t xml:space="preserve"> al día de la avería</w:t>
      </w:r>
      <w:r w:rsidRPr="00825A5F">
        <w:rPr>
          <w:lang w:val="es-ES"/>
        </w:rPr>
        <w:t xml:space="preserve">, ni tiene entidad para justificar la carga de contaminante. En </w:t>
      </w:r>
      <w:r>
        <w:rPr>
          <w:lang w:val="es-ES"/>
        </w:rPr>
        <w:t>todo caso,</w:t>
      </w:r>
      <w:r w:rsidRPr="00825A5F">
        <w:rPr>
          <w:lang w:val="es-ES"/>
        </w:rPr>
        <w:t xml:space="preserve"> pudiera haber añadido un poco más de carga contaminante de forma puntual y temporal durante ese día. Su zona de acción según los sentidos del flujo también limita </w:t>
      </w:r>
      <w:r>
        <w:rPr>
          <w:lang w:val="es-ES"/>
        </w:rPr>
        <w:t xml:space="preserve">aun más </w:t>
      </w:r>
      <w:r w:rsidRPr="00825A5F">
        <w:rPr>
          <w:lang w:val="es-ES"/>
        </w:rPr>
        <w:t xml:space="preserve">las </w:t>
      </w:r>
      <w:r>
        <w:rPr>
          <w:lang w:val="es-ES"/>
        </w:rPr>
        <w:t>probabilidades</w:t>
      </w:r>
      <w:r w:rsidRPr="00825A5F">
        <w:rPr>
          <w:lang w:val="es-ES"/>
        </w:rPr>
        <w:t xml:space="preserve"> de esta hipótesis.</w:t>
      </w:r>
    </w:p>
    <w:p w:rsidR="002C5374" w:rsidRPr="00825A5F" w:rsidRDefault="002C5374" w:rsidP="00844A51">
      <w:pPr>
        <w:numPr>
          <w:ilvl w:val="0"/>
          <w:numId w:val="9"/>
        </w:numPr>
        <w:spacing w:after="240"/>
        <w:ind w:left="714" w:hanging="357"/>
        <w:rPr>
          <w:rFonts w:cs="Times New Roman"/>
          <w:lang w:val="es-ES"/>
        </w:rPr>
      </w:pPr>
      <w:r w:rsidRPr="00825A5F">
        <w:rPr>
          <w:u w:val="single"/>
          <w:lang w:val="es-ES"/>
        </w:rPr>
        <w:t>El incidente se origina en la avería que se produce en la red de abastecimiento el día 11 de octubre de 2014  en la calle Héroes de la Aviación Española, números 7 y 9</w:t>
      </w:r>
      <w:r w:rsidRPr="00825A5F">
        <w:rPr>
          <w:lang w:val="es-ES"/>
        </w:rPr>
        <w:t xml:space="preserve">: esta hipótesis es </w:t>
      </w:r>
      <w:r>
        <w:rPr>
          <w:b/>
          <w:bCs/>
          <w:lang w:val="es-ES"/>
        </w:rPr>
        <w:t>muy</w:t>
      </w:r>
      <w:r w:rsidRPr="00440CB9">
        <w:rPr>
          <w:b/>
          <w:bCs/>
          <w:lang w:val="es-ES"/>
        </w:rPr>
        <w:t xml:space="preserve"> improbable</w:t>
      </w:r>
      <w:r w:rsidRPr="00825A5F">
        <w:rPr>
          <w:lang w:val="es-ES"/>
        </w:rPr>
        <w:t xml:space="preserve">. Ocurre lo mismo que con la hipótesis anterior. No obstante, </w:t>
      </w:r>
      <w:r>
        <w:rPr>
          <w:lang w:val="es-ES"/>
        </w:rPr>
        <w:t>es procedente hacer</w:t>
      </w:r>
      <w:r w:rsidRPr="00825A5F">
        <w:rPr>
          <w:lang w:val="es-ES"/>
        </w:rPr>
        <w:t xml:space="preserve"> mención al episodio de fuertes lluvias </w:t>
      </w:r>
      <w:r>
        <w:rPr>
          <w:lang w:val="es-ES"/>
        </w:rPr>
        <w:t xml:space="preserve">de </w:t>
      </w:r>
      <w:r w:rsidRPr="00825A5F">
        <w:rPr>
          <w:lang w:val="es-ES"/>
        </w:rPr>
        <w:t xml:space="preserve">ese día a las 21:30 h, pues siendo independiente de la avería, entendemos </w:t>
      </w:r>
      <w:r>
        <w:rPr>
          <w:lang w:val="es-ES"/>
        </w:rPr>
        <w:t>no se puede descartar que añadiese</w:t>
      </w:r>
      <w:r w:rsidRPr="00825A5F">
        <w:rPr>
          <w:lang w:val="es-ES"/>
        </w:rPr>
        <w:t xml:space="preserve"> carga de contaminante a la red y/o </w:t>
      </w:r>
      <w:r>
        <w:rPr>
          <w:lang w:val="es-ES"/>
        </w:rPr>
        <w:t xml:space="preserve">a los </w:t>
      </w:r>
      <w:r w:rsidRPr="00825A5F">
        <w:rPr>
          <w:lang w:val="es-ES"/>
        </w:rPr>
        <w:t xml:space="preserve">puntos de toma, </w:t>
      </w:r>
      <w:r>
        <w:rPr>
          <w:lang w:val="es-ES"/>
        </w:rPr>
        <w:t>contribuyendo con ello a los elevados valores de las analíticos de ese día.</w:t>
      </w:r>
    </w:p>
    <w:p w:rsidR="002C5374" w:rsidRPr="00825A5F" w:rsidRDefault="002C5374" w:rsidP="00844A51">
      <w:pPr>
        <w:numPr>
          <w:ilvl w:val="0"/>
          <w:numId w:val="9"/>
        </w:numPr>
        <w:spacing w:after="240"/>
        <w:ind w:left="714" w:hanging="357"/>
        <w:rPr>
          <w:lang w:val="es-ES"/>
        </w:rPr>
      </w:pPr>
      <w:r w:rsidRPr="00825A5F">
        <w:rPr>
          <w:u w:val="single"/>
          <w:lang w:val="es-ES"/>
        </w:rPr>
        <w:t>El incidente se origina en una atarjea de saneamiento que se encuentra frente a la Parroquia Nuestra Señora de Loreto</w:t>
      </w:r>
      <w:r w:rsidRPr="00825A5F">
        <w:rPr>
          <w:lang w:val="es-ES"/>
        </w:rPr>
        <w:t xml:space="preserve">: esta hipótesis es </w:t>
      </w:r>
      <w:r w:rsidRPr="00440CB9">
        <w:rPr>
          <w:b/>
          <w:bCs/>
          <w:lang w:val="es-ES"/>
        </w:rPr>
        <w:t>poco probable</w:t>
      </w:r>
      <w:r w:rsidRPr="00825A5F">
        <w:rPr>
          <w:lang w:val="es-ES"/>
        </w:rPr>
        <w:t xml:space="preserve">. Si bien es un punto donde </w:t>
      </w:r>
      <w:r>
        <w:rPr>
          <w:lang w:val="es-ES"/>
        </w:rPr>
        <w:t xml:space="preserve">en determinadas condiciones </w:t>
      </w:r>
      <w:r w:rsidRPr="00825A5F">
        <w:rPr>
          <w:lang w:val="es-ES"/>
        </w:rPr>
        <w:t xml:space="preserve">se puede contaminar la red de abastecimiento dado que la tubería que atraviesa la atarjea de saneamiento es de </w:t>
      </w:r>
      <w:r>
        <w:rPr>
          <w:lang w:val="es-ES"/>
        </w:rPr>
        <w:t>f</w:t>
      </w:r>
      <w:r w:rsidRPr="00825A5F">
        <w:rPr>
          <w:lang w:val="es-ES"/>
        </w:rPr>
        <w:t>ibrocemento</w:t>
      </w:r>
      <w:r>
        <w:rPr>
          <w:lang w:val="es-ES"/>
        </w:rPr>
        <w:t>,</w:t>
      </w:r>
      <w:r w:rsidRPr="00825A5F">
        <w:rPr>
          <w:lang w:val="es-ES"/>
        </w:rPr>
        <w:t xml:space="preserve"> tiene décadas</w:t>
      </w:r>
      <w:r>
        <w:rPr>
          <w:lang w:val="es-ES"/>
        </w:rPr>
        <w:t xml:space="preserve"> de antigüedad, y por lo tanto</w:t>
      </w:r>
      <w:r w:rsidRPr="00825A5F">
        <w:rPr>
          <w:lang w:val="es-ES"/>
        </w:rPr>
        <w:t xml:space="preserve"> pu</w:t>
      </w:r>
      <w:r>
        <w:rPr>
          <w:lang w:val="es-ES"/>
        </w:rPr>
        <w:t>ede</w:t>
      </w:r>
      <w:r w:rsidRPr="00825A5F">
        <w:rPr>
          <w:lang w:val="es-ES"/>
        </w:rPr>
        <w:t xml:space="preserve"> tener poros, fisuras, falta de estanqueidad en sus juntas,…etc., no es menos cierto que el sentido del flujo en la red impiden que se justifiquen </w:t>
      </w:r>
      <w:r>
        <w:rPr>
          <w:lang w:val="es-ES"/>
        </w:rPr>
        <w:t>muchos nodos que aparecen con problemas</w:t>
      </w:r>
      <w:r w:rsidRPr="00825A5F">
        <w:rPr>
          <w:lang w:val="es-ES"/>
        </w:rPr>
        <w:t xml:space="preserve">. </w:t>
      </w:r>
      <w:r>
        <w:rPr>
          <w:lang w:val="es-ES"/>
        </w:rPr>
        <w:t>Por lo tanto, esta</w:t>
      </w:r>
      <w:r w:rsidRPr="00825A5F">
        <w:rPr>
          <w:lang w:val="es-ES"/>
        </w:rPr>
        <w:t xml:space="preserve"> hipóte</w:t>
      </w:r>
      <w:r>
        <w:rPr>
          <w:lang w:val="es-ES"/>
        </w:rPr>
        <w:t xml:space="preserve">sis por sí sola no justifica </w:t>
      </w:r>
      <w:r w:rsidRPr="00825A5F">
        <w:rPr>
          <w:lang w:val="es-ES"/>
        </w:rPr>
        <w:t xml:space="preserve">el incidente, aunque no se puede descartar absolutamente que pudiese actuar, sobre todo tras episodios de lluvia, en combinación de otras hipótesis.  </w:t>
      </w:r>
    </w:p>
    <w:p w:rsidR="002C5374" w:rsidRPr="00825A5F" w:rsidRDefault="002C5374" w:rsidP="00844A51">
      <w:pPr>
        <w:numPr>
          <w:ilvl w:val="0"/>
          <w:numId w:val="9"/>
        </w:numPr>
        <w:spacing w:after="240"/>
        <w:ind w:left="714" w:hanging="357"/>
        <w:rPr>
          <w:rFonts w:cs="Times New Roman"/>
          <w:u w:val="single"/>
          <w:lang w:val="es-ES"/>
        </w:rPr>
      </w:pPr>
      <w:r w:rsidRPr="00825A5F">
        <w:rPr>
          <w:u w:val="single"/>
          <w:lang w:val="es-ES"/>
        </w:rPr>
        <w:t>El incidente se debe a un error sistemático del laboratorio que realiza los análisis:</w:t>
      </w:r>
      <w:r>
        <w:rPr>
          <w:lang w:val="es-ES"/>
        </w:rPr>
        <w:t xml:space="preserve"> esta hipótesis queda </w:t>
      </w:r>
      <w:r w:rsidRPr="00440CB9">
        <w:rPr>
          <w:b/>
          <w:bCs/>
          <w:lang w:val="es-ES"/>
        </w:rPr>
        <w:t>descartada totalmente</w:t>
      </w:r>
      <w:r>
        <w:rPr>
          <w:lang w:val="es-ES"/>
        </w:rPr>
        <w:t>. Los controles propios del laboratorio</w:t>
      </w:r>
      <w:r w:rsidRPr="00825A5F">
        <w:rPr>
          <w:lang w:val="es-ES"/>
        </w:rPr>
        <w:t xml:space="preserve">, así como la comparación y </w:t>
      </w:r>
      <w:r>
        <w:rPr>
          <w:lang w:val="es-ES"/>
        </w:rPr>
        <w:t>contraste</w:t>
      </w:r>
      <w:r w:rsidRPr="00825A5F">
        <w:rPr>
          <w:lang w:val="es-ES"/>
        </w:rPr>
        <w:t xml:space="preserve"> de resultados con otros laboratorios de control, hace</w:t>
      </w:r>
      <w:r>
        <w:rPr>
          <w:lang w:val="es-ES"/>
        </w:rPr>
        <w:t>n</w:t>
      </w:r>
      <w:r w:rsidRPr="00825A5F">
        <w:rPr>
          <w:lang w:val="es-ES"/>
        </w:rPr>
        <w:t xml:space="preserve"> imposible </w:t>
      </w:r>
      <w:r>
        <w:rPr>
          <w:lang w:val="es-ES"/>
        </w:rPr>
        <w:t>que se pudiera dar</w:t>
      </w:r>
      <w:r w:rsidRPr="00825A5F">
        <w:rPr>
          <w:lang w:val="es-ES"/>
        </w:rPr>
        <w:t xml:space="preserve"> un error sistemático.</w:t>
      </w:r>
    </w:p>
    <w:p w:rsidR="002C5374" w:rsidRDefault="002C5374" w:rsidP="00844A51">
      <w:pPr>
        <w:numPr>
          <w:ilvl w:val="0"/>
          <w:numId w:val="9"/>
        </w:numPr>
        <w:rPr>
          <w:rFonts w:cs="Times New Roman"/>
          <w:lang w:val="es-ES"/>
        </w:rPr>
      </w:pPr>
      <w:r w:rsidRPr="00825A5F">
        <w:rPr>
          <w:u w:val="single"/>
          <w:lang w:val="es-ES"/>
        </w:rPr>
        <w:t>El incidente se produce por la mo</w:t>
      </w:r>
      <w:r>
        <w:rPr>
          <w:u w:val="single"/>
          <w:lang w:val="es-ES"/>
        </w:rPr>
        <w:t>vilización de aguas estancadas</w:t>
      </w:r>
      <w:r w:rsidRPr="00825A5F">
        <w:rPr>
          <w:u w:val="single"/>
          <w:lang w:val="es-ES"/>
        </w:rPr>
        <w:t xml:space="preserve"> con desprendimiento de biopelícula al maniobrar la red</w:t>
      </w:r>
      <w:r w:rsidRPr="00825A5F">
        <w:rPr>
          <w:lang w:val="es-ES"/>
        </w:rPr>
        <w:t>: Es</w:t>
      </w:r>
      <w:r>
        <w:rPr>
          <w:lang w:val="es-ES"/>
        </w:rPr>
        <w:t>ta hipótesis explica con suficiencia el ámbito geográfico y temporal del incidente</w:t>
      </w:r>
      <w:r w:rsidRPr="00825A5F">
        <w:rPr>
          <w:lang w:val="es-ES"/>
        </w:rPr>
        <w:t xml:space="preserve">, </w:t>
      </w:r>
      <w:r>
        <w:rPr>
          <w:lang w:val="es-ES"/>
        </w:rPr>
        <w:t xml:space="preserve">así como otros aspectos relevantes de éste como </w:t>
      </w:r>
      <w:r w:rsidRPr="00825A5F">
        <w:rPr>
          <w:lang w:val="es-ES"/>
        </w:rPr>
        <w:t>la</w:t>
      </w:r>
      <w:r>
        <w:rPr>
          <w:lang w:val="es-ES"/>
        </w:rPr>
        <w:t>resistencia del foco contaminante a las</w:t>
      </w:r>
      <w:r w:rsidRPr="00825A5F">
        <w:rPr>
          <w:lang w:val="es-ES"/>
        </w:rPr>
        <w:t xml:space="preserve"> desinfecciones</w:t>
      </w:r>
      <w:r>
        <w:rPr>
          <w:lang w:val="es-ES"/>
        </w:rPr>
        <w:t xml:space="preserve">,por lo cabe considerarla como </w:t>
      </w:r>
      <w:r w:rsidRPr="00464709">
        <w:rPr>
          <w:b/>
          <w:bCs/>
          <w:lang w:val="es-ES"/>
        </w:rPr>
        <w:t>muy probable</w:t>
      </w:r>
      <w:r w:rsidRPr="00825A5F">
        <w:rPr>
          <w:lang w:val="es-ES"/>
        </w:rPr>
        <w:t xml:space="preserve">. </w:t>
      </w:r>
    </w:p>
    <w:p w:rsidR="002C5374" w:rsidRDefault="002C5374" w:rsidP="006E1823">
      <w:pPr>
        <w:rPr>
          <w:rFonts w:cs="Times New Roman"/>
          <w:lang w:val="es-ES"/>
        </w:rPr>
      </w:pPr>
    </w:p>
    <w:p w:rsidR="002C5374" w:rsidRDefault="002C5374" w:rsidP="00210BF3">
      <w:pPr>
        <w:rPr>
          <w:lang w:val="es-ES"/>
        </w:rPr>
      </w:pPr>
      <w:r>
        <w:rPr>
          <w:lang w:val="es-ES"/>
        </w:rPr>
        <w:t>Se indican a continuación cuáles con las características de una contaminación producida por aguas estancadas con desprendimiento de biopelícula que pueden explicar lo observado:</w:t>
      </w:r>
    </w:p>
    <w:p w:rsidR="002C5374" w:rsidRPr="007F1F29" w:rsidRDefault="002C5374" w:rsidP="00210BF3">
      <w:pPr>
        <w:pStyle w:val="ListParagraph"/>
        <w:numPr>
          <w:ilvl w:val="0"/>
          <w:numId w:val="17"/>
        </w:numPr>
        <w:rPr>
          <w:lang w:val="es-ES"/>
        </w:rPr>
      </w:pPr>
      <w:r w:rsidRPr="007F1F29">
        <w:rPr>
          <w:lang w:val="es-ES"/>
        </w:rPr>
        <w:t>Como ya se ha indicado repetidamente, las maniobras del día 29 de septiembre dan lugar a  la movilización de aguas estancadas (con subproductos de bacterias anaeróbicas) y biopelícula que pueden explicar perfectamente el episodio de malos olores de este día</w:t>
      </w:r>
    </w:p>
    <w:p w:rsidR="002C5374" w:rsidRPr="007F1F29" w:rsidRDefault="002C5374" w:rsidP="00210BF3">
      <w:pPr>
        <w:pStyle w:val="ListParagraph"/>
        <w:numPr>
          <w:ilvl w:val="0"/>
          <w:numId w:val="17"/>
        </w:numPr>
        <w:rPr>
          <w:lang w:val="es-ES"/>
        </w:rPr>
      </w:pPr>
      <w:r w:rsidRPr="007F1F29">
        <w:rPr>
          <w:lang w:val="es-ES"/>
        </w:rPr>
        <w:t>La biopelícula posiblemente desprendida el día 29 de septiembre explica los bajos valores de cloro residual  de este día</w:t>
      </w:r>
    </w:p>
    <w:p w:rsidR="002C5374" w:rsidRPr="007F1F29" w:rsidRDefault="002C5374" w:rsidP="00210BF3">
      <w:pPr>
        <w:pStyle w:val="ListParagraph"/>
        <w:numPr>
          <w:ilvl w:val="0"/>
          <w:numId w:val="17"/>
        </w:numPr>
        <w:rPr>
          <w:lang w:val="es-ES"/>
        </w:rPr>
      </w:pPr>
      <w:r w:rsidRPr="007F1F29">
        <w:rPr>
          <w:lang w:val="es-ES"/>
        </w:rPr>
        <w:t>El desplazamiento y depósito por todo el sector de fragmentos de biopelícula, explicaría la continuidad y duración del fenómeno microbiológico, pues como se ha visto ésta presenta una alta resistencia los agentes desinfectantes</w:t>
      </w:r>
    </w:p>
    <w:p w:rsidR="002C5374" w:rsidRPr="007F1F29" w:rsidRDefault="002C5374" w:rsidP="00210BF3">
      <w:pPr>
        <w:pStyle w:val="ListParagraph"/>
        <w:numPr>
          <w:ilvl w:val="0"/>
          <w:numId w:val="17"/>
        </w:numPr>
        <w:rPr>
          <w:lang w:val="es-ES"/>
        </w:rPr>
      </w:pPr>
      <w:r w:rsidRPr="007F1F29">
        <w:rPr>
          <w:lang w:val="es-ES"/>
        </w:rPr>
        <w:t>De forma complementaria al punto anterior, las altas temperaturas del agua observadas  durante el incidente (hasta 25 grados centígrados) pudieron contribuir a la creación de un ambiente donde el desarrollo y el crecimiento de las bacterias era favorecido</w:t>
      </w:r>
    </w:p>
    <w:p w:rsidR="002C5374" w:rsidRPr="007F1F29" w:rsidRDefault="002C5374" w:rsidP="00210BF3">
      <w:pPr>
        <w:rPr>
          <w:lang w:val="es-ES"/>
        </w:rPr>
      </w:pPr>
      <w:r>
        <w:rPr>
          <w:lang w:val="es-ES"/>
        </w:rPr>
        <w:t>Por tanto,</w:t>
      </w:r>
      <w:r w:rsidRPr="007F1F29">
        <w:rPr>
          <w:lang w:val="es-ES"/>
        </w:rPr>
        <w:t xml:space="preserve"> podemos decir que una contaminación por aguas estancadas con desprendimiento de biopelícula explicaría:</w:t>
      </w:r>
    </w:p>
    <w:p w:rsidR="002C5374" w:rsidRPr="007F1F29" w:rsidRDefault="002C5374" w:rsidP="00210BF3">
      <w:pPr>
        <w:pStyle w:val="ListParagraph"/>
        <w:numPr>
          <w:ilvl w:val="0"/>
          <w:numId w:val="17"/>
        </w:numPr>
        <w:rPr>
          <w:lang w:val="es-ES"/>
        </w:rPr>
      </w:pPr>
      <w:r w:rsidRPr="007F1F29">
        <w:rPr>
          <w:lang w:val="es-ES"/>
        </w:rPr>
        <w:t>La extensión del incidente (ámbito geográfico)</w:t>
      </w:r>
    </w:p>
    <w:p w:rsidR="002C5374" w:rsidRPr="007F1F29" w:rsidRDefault="002C5374" w:rsidP="00210BF3">
      <w:pPr>
        <w:pStyle w:val="ListParagraph"/>
        <w:numPr>
          <w:ilvl w:val="0"/>
          <w:numId w:val="17"/>
        </w:numPr>
        <w:rPr>
          <w:lang w:val="es-ES"/>
        </w:rPr>
      </w:pPr>
      <w:r w:rsidRPr="007F1F29">
        <w:rPr>
          <w:lang w:val="es-ES"/>
        </w:rPr>
        <w:t>La duración del mismo (ámbito temporal)</w:t>
      </w:r>
    </w:p>
    <w:p w:rsidR="002C5374" w:rsidRPr="007F1F29" w:rsidRDefault="002C5374" w:rsidP="00210BF3">
      <w:pPr>
        <w:pStyle w:val="ListParagraph"/>
        <w:numPr>
          <w:ilvl w:val="0"/>
          <w:numId w:val="17"/>
        </w:numPr>
        <w:rPr>
          <w:lang w:val="es-ES"/>
        </w:rPr>
      </w:pPr>
      <w:r w:rsidRPr="007F1F29">
        <w:rPr>
          <w:lang w:val="es-ES"/>
        </w:rPr>
        <w:t xml:space="preserve">La resistencia a las cloraciones </w:t>
      </w:r>
    </w:p>
    <w:p w:rsidR="002C5374" w:rsidRPr="007F1F29" w:rsidRDefault="002C5374" w:rsidP="00210BF3">
      <w:pPr>
        <w:pStyle w:val="ListParagraph"/>
        <w:numPr>
          <w:ilvl w:val="0"/>
          <w:numId w:val="17"/>
        </w:numPr>
        <w:rPr>
          <w:lang w:val="es-ES"/>
        </w:rPr>
      </w:pPr>
      <w:r w:rsidRPr="007F1F29">
        <w:rPr>
          <w:lang w:val="es-ES"/>
        </w:rPr>
        <w:t xml:space="preserve">La aparición de bacterias aerobias sólo en este sector </w:t>
      </w:r>
    </w:p>
    <w:p w:rsidR="002C5374" w:rsidRPr="007F1F29" w:rsidRDefault="002C5374" w:rsidP="00210BF3">
      <w:pPr>
        <w:pStyle w:val="ListParagraph"/>
        <w:numPr>
          <w:ilvl w:val="0"/>
          <w:numId w:val="17"/>
        </w:numPr>
        <w:rPr>
          <w:lang w:val="es-ES"/>
        </w:rPr>
      </w:pPr>
      <w:r w:rsidRPr="007F1F29">
        <w:rPr>
          <w:lang w:val="es-ES"/>
        </w:rPr>
        <w:t>La falta de éxito en la búsqueda de un foco contaminante específico durante todo el incidente</w:t>
      </w:r>
    </w:p>
    <w:p w:rsidR="002C5374" w:rsidRPr="007F1F29" w:rsidRDefault="002C5374" w:rsidP="006E1823">
      <w:pPr>
        <w:rPr>
          <w:lang w:val="es-ES"/>
        </w:rPr>
      </w:pPr>
      <w:r w:rsidRPr="007F1F29">
        <w:rPr>
          <w:lang w:val="es-ES"/>
        </w:rPr>
        <w:t>Teniendo en cuenta que entre todos los agentes implicados en el estudio del incidente: cuerpo técnico de Aguas de Cádiz, laboratorio, consultor internacional en ingeniería del agua, así como la propia comisión no se han encontrado otras posibles hipótesis, así como el trabajo de valoración de las hipótesis consideradas expuesto en el apartado 5.1, esta comisión entiende que la movilización de aguas estancadas y biopelícula como consecuencia de la maniobra de apertura de las válvulas límite de sector es muy probablemente la causa del incidente.</w:t>
      </w:r>
    </w:p>
    <w:p w:rsidR="002C5374" w:rsidRDefault="002C5374" w:rsidP="006E1823">
      <w:pPr>
        <w:rPr>
          <w:rFonts w:cs="Times New Roman"/>
          <w:lang w:val="es-ES"/>
        </w:rPr>
      </w:pPr>
    </w:p>
    <w:p w:rsidR="002C5374" w:rsidRPr="00112042" w:rsidRDefault="002C5374" w:rsidP="00112042">
      <w:pPr>
        <w:pStyle w:val="Heading2"/>
        <w:rPr>
          <w:b w:val="0"/>
          <w:bCs w:val="0"/>
          <w:lang w:val="es-ES"/>
        </w:rPr>
      </w:pPr>
      <w:bookmarkStart w:id="30" w:name="_Toc444607447"/>
      <w:r w:rsidRPr="00112042">
        <w:rPr>
          <w:b w:val="0"/>
          <w:bCs w:val="0"/>
          <w:lang w:val="es-ES"/>
        </w:rPr>
        <w:t>VALORACIÓN DE LA GESTIÓN DEL INCIDENTE</w:t>
      </w:r>
      <w:bookmarkEnd w:id="30"/>
    </w:p>
    <w:p w:rsidR="002C5374" w:rsidRPr="00DC22E4" w:rsidRDefault="002C5374" w:rsidP="00E50223">
      <w:pPr>
        <w:rPr>
          <w:b/>
          <w:bCs/>
          <w:lang w:val="es-ES"/>
        </w:rPr>
      </w:pPr>
      <w:r w:rsidRPr="00E50223">
        <w:rPr>
          <w:lang w:val="es-ES"/>
        </w:rPr>
        <w:t xml:space="preserve">Se valoran a continuación los aspectos de la gestión del incidente que han sido analizados en los apartados 4.4 y 4.5, </w:t>
      </w:r>
      <w:r>
        <w:rPr>
          <w:lang w:val="es-ES"/>
        </w:rPr>
        <w:t>destacando</w:t>
      </w:r>
      <w:r w:rsidRPr="00E50223">
        <w:rPr>
          <w:lang w:val="es-ES"/>
        </w:rPr>
        <w:t xml:space="preserve"> las </w:t>
      </w:r>
      <w:r>
        <w:rPr>
          <w:lang w:val="es-ES"/>
        </w:rPr>
        <w:t xml:space="preserve">actuaciones, </w:t>
      </w:r>
      <w:r w:rsidRPr="00E50223">
        <w:rPr>
          <w:lang w:val="es-ES"/>
        </w:rPr>
        <w:t xml:space="preserve">decisiones </w:t>
      </w:r>
      <w:r>
        <w:rPr>
          <w:lang w:val="es-ES"/>
        </w:rPr>
        <w:t xml:space="preserve">y gestiones que por acción u omisión tuvieron </w:t>
      </w:r>
      <w:r w:rsidRPr="00E50223">
        <w:rPr>
          <w:lang w:val="es-ES"/>
        </w:rPr>
        <w:t>mayor relevancia en el desarrollo del incidente y en el empleo de los recursos de la empresa.</w:t>
      </w:r>
      <w:r>
        <w:rPr>
          <w:lang w:val="es-ES"/>
        </w:rPr>
        <w:t xml:space="preserve"> Y p</w:t>
      </w:r>
      <w:r w:rsidRPr="00E50223">
        <w:rPr>
          <w:lang w:val="es-ES"/>
        </w:rPr>
        <w:t xml:space="preserve">ara ello, </w:t>
      </w:r>
      <w:r w:rsidRPr="00DC22E4">
        <w:rPr>
          <w:b/>
          <w:bCs/>
          <w:lang w:val="es-ES"/>
        </w:rPr>
        <w:t>se asume la valoración de las causas del incidente que se ha expuesto en el apartado anterior.</w:t>
      </w:r>
    </w:p>
    <w:p w:rsidR="002C5374" w:rsidRPr="00BC1D44" w:rsidRDefault="002C5374" w:rsidP="00844A51">
      <w:pPr>
        <w:numPr>
          <w:ilvl w:val="0"/>
          <w:numId w:val="9"/>
        </w:numPr>
        <w:spacing w:after="240"/>
        <w:ind w:left="714" w:hanging="357"/>
        <w:rPr>
          <w:lang w:val="es-ES"/>
        </w:rPr>
      </w:pPr>
      <w:r w:rsidRPr="00BC1D44">
        <w:rPr>
          <w:lang w:val="es-ES"/>
        </w:rPr>
        <w:t>Si se hubiera cumplido el protocolo de autocontrol</w:t>
      </w:r>
      <w:r>
        <w:rPr>
          <w:lang w:val="es-ES"/>
        </w:rPr>
        <w:t>en todos sus extremos, posiblemente</w:t>
      </w:r>
      <w:r w:rsidRPr="00BC1D44">
        <w:rPr>
          <w:lang w:val="es-ES"/>
        </w:rPr>
        <w:t xml:space="preserve"> no se hubiera producido el incidente</w:t>
      </w:r>
    </w:p>
    <w:p w:rsidR="002C5374" w:rsidRDefault="002C5374" w:rsidP="00844A51">
      <w:pPr>
        <w:numPr>
          <w:ilvl w:val="0"/>
          <w:numId w:val="9"/>
        </w:numPr>
        <w:spacing w:after="240"/>
        <w:ind w:left="714" w:hanging="357"/>
        <w:rPr>
          <w:lang w:val="es-ES"/>
        </w:rPr>
      </w:pPr>
      <w:r w:rsidRPr="00BC1D44">
        <w:rPr>
          <w:lang w:val="es-ES"/>
        </w:rPr>
        <w:t>La comunicación a la autoridad sanitaria</w:t>
      </w:r>
      <w:r>
        <w:rPr>
          <w:lang w:val="es-ES"/>
        </w:rPr>
        <w:t xml:space="preserve">de la confirmación del incumplimiento de parámetros tipo A que se refiere el artículo 27 del RD 140/2003 </w:t>
      </w:r>
      <w:r w:rsidRPr="00BC1D44">
        <w:rPr>
          <w:lang w:val="es-ES"/>
        </w:rPr>
        <w:t xml:space="preserve">debía haberse producido el día </w:t>
      </w:r>
      <w:r>
        <w:rPr>
          <w:lang w:val="es-ES"/>
        </w:rPr>
        <w:t>3 de octubre</w:t>
      </w:r>
    </w:p>
    <w:p w:rsidR="002C5374" w:rsidRPr="00BC1D44" w:rsidRDefault="002C5374" w:rsidP="00844A51">
      <w:pPr>
        <w:numPr>
          <w:ilvl w:val="0"/>
          <w:numId w:val="9"/>
        </w:numPr>
        <w:spacing w:after="240"/>
        <w:ind w:left="714" w:hanging="357"/>
        <w:rPr>
          <w:rFonts w:cs="Times New Roman"/>
          <w:lang w:val="es-ES"/>
        </w:rPr>
      </w:pPr>
      <w:r w:rsidRPr="00BC1D44">
        <w:rPr>
          <w:lang w:val="es-ES"/>
        </w:rPr>
        <w:t xml:space="preserve">De haber </w:t>
      </w:r>
      <w:r>
        <w:rPr>
          <w:lang w:val="es-ES"/>
        </w:rPr>
        <w:t>existido</w:t>
      </w:r>
      <w:r w:rsidRPr="00BC1D44">
        <w:rPr>
          <w:lang w:val="es-ES"/>
        </w:rPr>
        <w:t xml:space="preserve"> una comunicación </w:t>
      </w:r>
      <w:r>
        <w:rPr>
          <w:lang w:val="es-ES"/>
        </w:rPr>
        <w:t>eficaz</w:t>
      </w:r>
      <w:r w:rsidRPr="00BC1D44">
        <w:rPr>
          <w:lang w:val="es-ES"/>
        </w:rPr>
        <w:t xml:space="preserve"> con el laboratorio</w:t>
      </w:r>
      <w:r>
        <w:rPr>
          <w:lang w:val="es-ES"/>
        </w:rPr>
        <w:t xml:space="preserve">, hubiesen aumentado en gran medida las probabilidades de haber </w:t>
      </w:r>
      <w:r w:rsidRPr="00BC1D44">
        <w:rPr>
          <w:lang w:val="es-ES"/>
        </w:rPr>
        <w:t>identificado las causas del incidente</w:t>
      </w:r>
      <w:r>
        <w:rPr>
          <w:lang w:val="es-ES"/>
        </w:rPr>
        <w:t xml:space="preserve">, pues se hubiese interpretado que se estaba ante un fenómeno bacteriológico extensivo y no puntual </w:t>
      </w:r>
    </w:p>
    <w:p w:rsidR="002C5374" w:rsidRDefault="002C5374" w:rsidP="00844A51">
      <w:pPr>
        <w:numPr>
          <w:ilvl w:val="0"/>
          <w:numId w:val="9"/>
        </w:numPr>
        <w:spacing w:after="240"/>
        <w:ind w:left="714" w:hanging="357"/>
        <w:rPr>
          <w:lang w:val="es-ES"/>
        </w:rPr>
      </w:pPr>
      <w:r>
        <w:rPr>
          <w:lang w:val="es-ES"/>
        </w:rPr>
        <w:t>Una menor compartimentación de la información en la cadena de mando hubiese facilitado la identificación de las causas de un incidente de esta complejidad (con aspectos hidráulicos, microbiológicos, etc.)</w:t>
      </w:r>
    </w:p>
    <w:p w:rsidR="002C5374" w:rsidRPr="00BC1D44" w:rsidRDefault="002C5374" w:rsidP="00844A51">
      <w:pPr>
        <w:numPr>
          <w:ilvl w:val="0"/>
          <w:numId w:val="9"/>
        </w:numPr>
        <w:spacing w:after="240"/>
        <w:ind w:left="714" w:hanging="357"/>
        <w:rPr>
          <w:rFonts w:cs="Times New Roman"/>
          <w:lang w:val="es-ES"/>
        </w:rPr>
      </w:pPr>
      <w:r>
        <w:rPr>
          <w:lang w:val="es-ES"/>
        </w:rPr>
        <w:t>La falta de información inicial y algunos episodios conflictivos en la comunicación con los vecinos influyó de forma decisiva en percepción que de ésta se tuvo por la población afectada por el incidente</w:t>
      </w:r>
    </w:p>
    <w:p w:rsidR="002C5374" w:rsidRDefault="002C5374" w:rsidP="00844A51">
      <w:pPr>
        <w:numPr>
          <w:ilvl w:val="0"/>
          <w:numId w:val="9"/>
        </w:numPr>
        <w:spacing w:after="240"/>
        <w:ind w:left="714" w:hanging="357"/>
        <w:rPr>
          <w:lang w:val="es-ES"/>
        </w:rPr>
      </w:pPr>
      <w:r>
        <w:rPr>
          <w:lang w:val="es-ES"/>
        </w:rPr>
        <w:t xml:space="preserve">Los gastos extraordinarios realizados por Aguas de Cádiz en el año 2014 como consecuencia del incidente no tienen precedentes en cuanto a su impacto en la cuenta de resultados. </w:t>
      </w:r>
    </w:p>
    <w:p w:rsidR="002C5374" w:rsidRDefault="002C5374" w:rsidP="00844A51">
      <w:pPr>
        <w:numPr>
          <w:ilvl w:val="0"/>
          <w:numId w:val="9"/>
        </w:numPr>
        <w:spacing w:after="240"/>
        <w:ind w:left="714" w:hanging="357"/>
        <w:rPr>
          <w:rFonts w:cs="Times New Roman"/>
          <w:lang w:val="es-ES"/>
        </w:rPr>
      </w:pPr>
      <w:r w:rsidRPr="005969CE">
        <w:rPr>
          <w:lang w:val="es-ES"/>
        </w:rPr>
        <w:t xml:space="preserve">Las inversiones y mejoras en la red realizadas por Aguas de Cádiz en el año 2015 directamente relacionadas con el incidente suponen </w:t>
      </w:r>
      <w:r>
        <w:rPr>
          <w:lang w:val="es-ES"/>
        </w:rPr>
        <w:t>una parte destacada</w:t>
      </w:r>
      <w:r w:rsidRPr="005969CE">
        <w:rPr>
          <w:lang w:val="es-ES"/>
        </w:rPr>
        <w:t xml:space="preserve"> de los recursos aplicados en </w:t>
      </w:r>
      <w:r>
        <w:rPr>
          <w:lang w:val="es-ES"/>
        </w:rPr>
        <w:t xml:space="preserve">las redes de </w:t>
      </w:r>
      <w:r w:rsidRPr="005969CE">
        <w:rPr>
          <w:lang w:val="es-ES"/>
        </w:rPr>
        <w:t xml:space="preserve">abastecimiento </w:t>
      </w:r>
      <w:r>
        <w:rPr>
          <w:lang w:val="es-ES"/>
        </w:rPr>
        <w:t xml:space="preserve">durante </w:t>
      </w:r>
      <w:r w:rsidRPr="005969CE">
        <w:rPr>
          <w:lang w:val="es-ES"/>
        </w:rPr>
        <w:t>ese año</w:t>
      </w:r>
    </w:p>
    <w:p w:rsidR="002C5374" w:rsidRPr="005969CE" w:rsidRDefault="002C5374" w:rsidP="0040561A">
      <w:pPr>
        <w:spacing w:after="240"/>
        <w:rPr>
          <w:rFonts w:cs="Times New Roman"/>
          <w:lang w:val="es-ES"/>
        </w:rPr>
      </w:pPr>
    </w:p>
    <w:p w:rsidR="002C5374" w:rsidRPr="00215224" w:rsidRDefault="002C5374" w:rsidP="00854A2A">
      <w:pPr>
        <w:pStyle w:val="Heading1"/>
        <w:rPr>
          <w:lang w:val="es-ES"/>
        </w:rPr>
      </w:pPr>
      <w:bookmarkStart w:id="31" w:name="_Toc444607448"/>
      <w:r>
        <w:rPr>
          <w:lang w:val="es-ES"/>
        </w:rPr>
        <w:t xml:space="preserve">CONSIDERACIONES Y </w:t>
      </w:r>
      <w:r w:rsidRPr="00215224">
        <w:rPr>
          <w:lang w:val="es-ES"/>
        </w:rPr>
        <w:t>COMENTARIOS</w:t>
      </w:r>
      <w:bookmarkEnd w:id="31"/>
    </w:p>
    <w:p w:rsidR="002C5374" w:rsidRPr="007F1F29" w:rsidRDefault="002C5374" w:rsidP="00215224">
      <w:pPr>
        <w:rPr>
          <w:lang w:val="es-ES"/>
        </w:rPr>
      </w:pPr>
      <w:r w:rsidRPr="007F1F29">
        <w:rPr>
          <w:lang w:val="es-ES"/>
        </w:rPr>
        <w:t>Se exponen a continuación una serie de consideraciones y comentarios que sonnecesarios tener en cuenta previamente al establecimiento de las conclusiones del presente informe.</w:t>
      </w:r>
    </w:p>
    <w:p w:rsidR="002C5374" w:rsidRDefault="002C5374" w:rsidP="00215224">
      <w:pPr>
        <w:numPr>
          <w:ilvl w:val="0"/>
          <w:numId w:val="9"/>
        </w:numPr>
        <w:spacing w:after="240"/>
        <w:ind w:left="714" w:hanging="357"/>
        <w:rPr>
          <w:lang w:val="es-ES"/>
        </w:rPr>
      </w:pPr>
      <w:r>
        <w:rPr>
          <w:lang w:val="es-ES"/>
        </w:rPr>
        <w:t xml:space="preserve">Gran parte de la información que se ha empleado en el presente trabajo proviene de entrevistas personales, por lo que el resultado de éste puede estar condicionado por la propia subjetividad de este método y por el tiempo transcurrido, más de 16 meses, desde el incidente. </w:t>
      </w:r>
    </w:p>
    <w:p w:rsidR="002C5374" w:rsidRDefault="002C5374" w:rsidP="00215224">
      <w:pPr>
        <w:numPr>
          <w:ilvl w:val="0"/>
          <w:numId w:val="9"/>
        </w:numPr>
        <w:spacing w:after="240"/>
        <w:ind w:left="714" w:hanging="357"/>
        <w:rPr>
          <w:lang w:val="es-ES"/>
        </w:rPr>
      </w:pPr>
      <w:r>
        <w:rPr>
          <w:lang w:val="es-ES"/>
        </w:rPr>
        <w:t>La complejidad y variabilidad de los fenómenos de los que trata el presente trabajo tiene como consecuencia directa que al realizar afirmaciones sea necesario hablar en muchos ocasiones en términos estadísticos, es decir de las probabilidades de que los sucesos ocurran.</w:t>
      </w:r>
    </w:p>
    <w:p w:rsidR="002C5374" w:rsidRDefault="002C5374" w:rsidP="00215224">
      <w:pPr>
        <w:numPr>
          <w:ilvl w:val="0"/>
          <w:numId w:val="9"/>
        </w:numPr>
        <w:spacing w:after="240"/>
        <w:ind w:left="714" w:hanging="357"/>
        <w:rPr>
          <w:lang w:val="es-ES"/>
        </w:rPr>
      </w:pPr>
      <w:r>
        <w:rPr>
          <w:lang w:val="es-ES"/>
        </w:rPr>
        <w:t xml:space="preserve">Dado que uno de los objetivos del presente informe es estudiar y esclarecer la gestión que desde Aguas de Cádiz se hizo del incidente, esta comisión quiere dejar constancia de que con independencia de las conclusiones que al respecto se establecen, no se pone en cuestiónla entrega y profesionalidad que el personal demostró durante el incidente. </w:t>
      </w:r>
    </w:p>
    <w:p w:rsidR="002C5374" w:rsidRDefault="002C5374" w:rsidP="00215224">
      <w:pPr>
        <w:numPr>
          <w:ilvl w:val="0"/>
          <w:numId w:val="9"/>
        </w:numPr>
        <w:spacing w:after="240"/>
        <w:ind w:left="714" w:hanging="357"/>
        <w:rPr>
          <w:lang w:val="es-ES"/>
        </w:rPr>
      </w:pPr>
      <w:r>
        <w:rPr>
          <w:lang w:val="es-ES"/>
        </w:rPr>
        <w:t>Considerando que en este informe se analizan las consecuencias del incidente, es preciso recordar que la autoridad sanitaria indica en su informe de la barriada de Loreto de abril de 2015, que el impacto epidemiológico del incidente fue nulo, no produciéndose ninguna alerta sanitaria procedente de la zona.</w:t>
      </w:r>
    </w:p>
    <w:p w:rsidR="002C5374" w:rsidRDefault="002C5374" w:rsidP="006E1823">
      <w:pPr>
        <w:numPr>
          <w:ilvl w:val="0"/>
          <w:numId w:val="9"/>
        </w:numPr>
        <w:spacing w:after="240"/>
        <w:ind w:left="714" w:hanging="357"/>
        <w:rPr>
          <w:lang w:val="es-ES"/>
        </w:rPr>
      </w:pPr>
      <w:r>
        <w:rPr>
          <w:lang w:val="es-ES"/>
        </w:rPr>
        <w:t>Aunque se han detectado datos que podrían constituir posibles inconsistencias en algunas analíticas entregadas por el laboratorio, esta comisión entiende que éstas no restan validez al análisis realizado, pudiendo incluso interpretarse estas posibles inconsistencias como una muestra de la anormalidad del fenómeno estudiado, así como una validación adicional de la hipótesis considerada. El estudio de estas posibles inconsistencias quedan fuera del alcance del presente trabajo.</w:t>
      </w:r>
    </w:p>
    <w:p w:rsidR="002C5374" w:rsidRDefault="002C5374" w:rsidP="007F1F29">
      <w:pPr>
        <w:spacing w:after="240"/>
        <w:rPr>
          <w:rFonts w:cs="Times New Roman"/>
          <w:lang w:val="es-ES"/>
        </w:rPr>
      </w:pPr>
    </w:p>
    <w:p w:rsidR="002C5374" w:rsidRDefault="002C5374" w:rsidP="00B0088E">
      <w:pPr>
        <w:pStyle w:val="Heading1"/>
        <w:ind w:left="431" w:hanging="431"/>
        <w:rPr>
          <w:lang w:val="es-ES"/>
        </w:rPr>
      </w:pPr>
      <w:bookmarkStart w:id="32" w:name="_Toc444607449"/>
      <w:r>
        <w:rPr>
          <w:lang w:val="es-ES"/>
        </w:rPr>
        <w:t>CONCLUSIONES</w:t>
      </w:r>
      <w:bookmarkEnd w:id="32"/>
    </w:p>
    <w:p w:rsidR="002C5374" w:rsidRPr="0054017A" w:rsidRDefault="002C5374" w:rsidP="0054017A">
      <w:pPr>
        <w:rPr>
          <w:rFonts w:cs="Times New Roman"/>
          <w:lang w:val="es-ES"/>
        </w:rPr>
      </w:pPr>
      <w:r w:rsidRPr="00E50223">
        <w:rPr>
          <w:lang w:val="es-ES"/>
        </w:rPr>
        <w:t xml:space="preserve">Las conclusiones del trabajo realizado por la </w:t>
      </w:r>
      <w:r w:rsidRPr="0054017A">
        <w:rPr>
          <w:lang w:val="es-ES"/>
        </w:rPr>
        <w:t>Comisión para el Estudio y Esclarecimiento del Incidente en el Servicio de Abastecimiento de Agua en el Barrio de Loreto ocurrido en septiembre y octubre de 2014</w:t>
      </w:r>
      <w:r>
        <w:rPr>
          <w:lang w:val="es-ES"/>
        </w:rPr>
        <w:t xml:space="preserve"> son las siguientes:</w:t>
      </w:r>
    </w:p>
    <w:p w:rsidR="002C5374" w:rsidRPr="0031451A" w:rsidRDefault="002C5374" w:rsidP="00844A51">
      <w:pPr>
        <w:numPr>
          <w:ilvl w:val="0"/>
          <w:numId w:val="9"/>
        </w:numPr>
        <w:spacing w:after="240"/>
        <w:ind w:left="714" w:hanging="357"/>
        <w:rPr>
          <w:rFonts w:cs="Times New Roman"/>
          <w:lang w:val="es-ES"/>
        </w:rPr>
      </w:pPr>
      <w:r w:rsidRPr="0031451A">
        <w:rPr>
          <w:lang w:val="es-ES"/>
        </w:rPr>
        <w:t>La explicación</w:t>
      </w:r>
      <w:r>
        <w:rPr>
          <w:lang w:val="es-ES"/>
        </w:rPr>
        <w:t xml:space="preserve"> oficial</w:t>
      </w:r>
      <w:r w:rsidRPr="0031451A">
        <w:rPr>
          <w:lang w:val="es-ES"/>
        </w:rPr>
        <w:t xml:space="preserve"> dada por Aguas de Cádiz a la autoridad sanitaria</w:t>
      </w:r>
      <w:r>
        <w:rPr>
          <w:lang w:val="es-ES"/>
        </w:rPr>
        <w:t xml:space="preserve">acerca las causas que originaron </w:t>
      </w:r>
      <w:r w:rsidRPr="0031451A">
        <w:rPr>
          <w:lang w:val="es-ES"/>
        </w:rPr>
        <w:t xml:space="preserve">el incidente </w:t>
      </w:r>
      <w:r>
        <w:rPr>
          <w:lang w:val="es-ES"/>
        </w:rPr>
        <w:t>queda completamente descartada</w:t>
      </w:r>
    </w:p>
    <w:p w:rsidR="002C5374" w:rsidRDefault="002C5374" w:rsidP="00844A51">
      <w:pPr>
        <w:numPr>
          <w:ilvl w:val="0"/>
          <w:numId w:val="9"/>
        </w:numPr>
        <w:spacing w:after="240"/>
        <w:ind w:left="714" w:hanging="357"/>
        <w:rPr>
          <w:lang w:val="es-ES"/>
        </w:rPr>
      </w:pPr>
      <w:r>
        <w:rPr>
          <w:lang w:val="es-ES"/>
        </w:rPr>
        <w:t>L</w:t>
      </w:r>
      <w:r w:rsidRPr="0031451A">
        <w:rPr>
          <w:lang w:val="es-ES"/>
        </w:rPr>
        <w:t>a movilización de aguas esta</w:t>
      </w:r>
      <w:r>
        <w:rPr>
          <w:lang w:val="es-ES"/>
        </w:rPr>
        <w:t>ncadas y</w:t>
      </w:r>
      <w:r w:rsidRPr="0031451A">
        <w:rPr>
          <w:lang w:val="es-ES"/>
        </w:rPr>
        <w:t xml:space="preserve"> biopelícula explica </w:t>
      </w:r>
      <w:r>
        <w:rPr>
          <w:lang w:val="es-ES"/>
        </w:rPr>
        <w:t>de forma muy ajustada</w:t>
      </w:r>
      <w:r w:rsidRPr="0031451A">
        <w:rPr>
          <w:lang w:val="es-ES"/>
        </w:rPr>
        <w:t xml:space="preserve"> las caracter</w:t>
      </w:r>
      <w:r>
        <w:rPr>
          <w:lang w:val="es-ES"/>
        </w:rPr>
        <w:t>ísticas observadas del incidente y constituye muy probablemente la causa de éste</w:t>
      </w:r>
    </w:p>
    <w:p w:rsidR="002C5374" w:rsidRDefault="002C5374" w:rsidP="00E763B3">
      <w:pPr>
        <w:numPr>
          <w:ilvl w:val="0"/>
          <w:numId w:val="9"/>
        </w:numPr>
        <w:spacing w:after="240"/>
        <w:ind w:left="714" w:hanging="357"/>
        <w:rPr>
          <w:lang w:val="es-ES"/>
        </w:rPr>
      </w:pPr>
      <w:r>
        <w:rPr>
          <w:lang w:val="es-ES"/>
        </w:rPr>
        <w:t xml:space="preserve">El estricto cumplimiento del protocolo de autocontrol de Aguas de Cádiz en lo relativo al tratamiento de aguas con alta residencia (aguas estancadas) posiblemente habría evitado el incidente </w:t>
      </w:r>
    </w:p>
    <w:p w:rsidR="002C5374" w:rsidRDefault="002C5374" w:rsidP="00844A51">
      <w:pPr>
        <w:numPr>
          <w:ilvl w:val="0"/>
          <w:numId w:val="9"/>
        </w:numPr>
        <w:spacing w:after="240"/>
        <w:ind w:left="714" w:hanging="357"/>
        <w:rPr>
          <w:lang w:val="es-ES"/>
        </w:rPr>
      </w:pPr>
      <w:r>
        <w:rPr>
          <w:lang w:val="es-ES"/>
        </w:rPr>
        <w:t>El día 3 de octubre de 2014 s</w:t>
      </w:r>
      <w:r w:rsidRPr="0031451A">
        <w:rPr>
          <w:lang w:val="es-ES"/>
        </w:rPr>
        <w:t xml:space="preserve">e debió </w:t>
      </w:r>
      <w:r>
        <w:rPr>
          <w:lang w:val="es-ES"/>
        </w:rPr>
        <w:t>comunicar</w:t>
      </w:r>
      <w:r w:rsidRPr="0031451A">
        <w:rPr>
          <w:lang w:val="es-ES"/>
        </w:rPr>
        <w:t xml:space="preserve"> a la autoridad sanitaria</w:t>
      </w:r>
      <w:r>
        <w:rPr>
          <w:lang w:val="es-ES"/>
        </w:rPr>
        <w:t>la confirmación de un incumplimiento de parámetros tipo A, de esta forma a partir de ese día habría sido responsabilidad de ésta la estimación de la importancia de dicho incumplimiento</w:t>
      </w:r>
    </w:p>
    <w:p w:rsidR="002C5374" w:rsidRPr="0031451A" w:rsidRDefault="002C5374" w:rsidP="00844A51">
      <w:pPr>
        <w:numPr>
          <w:ilvl w:val="0"/>
          <w:numId w:val="9"/>
        </w:numPr>
        <w:spacing w:after="240"/>
        <w:ind w:left="714" w:hanging="357"/>
        <w:rPr>
          <w:rFonts w:cs="Times New Roman"/>
          <w:lang w:val="es-ES"/>
        </w:rPr>
      </w:pPr>
      <w:r>
        <w:rPr>
          <w:lang w:val="es-ES"/>
        </w:rPr>
        <w:t>La cadena de mando del incidente no recibe en un primer momento con la suficiente alarmala información del laboratorio respecto del alto crecimiento de bacterias aerobias detectado en el sector, y una vez que esto ocurre no se asume su importancia, lo que contribuyea una búsqueda errónea de las causas del incidente</w:t>
      </w:r>
    </w:p>
    <w:p w:rsidR="002C5374" w:rsidRPr="000F19E8" w:rsidRDefault="002C5374" w:rsidP="00677150">
      <w:pPr>
        <w:numPr>
          <w:ilvl w:val="0"/>
          <w:numId w:val="9"/>
        </w:numPr>
        <w:spacing w:after="240"/>
        <w:ind w:left="714" w:hanging="357"/>
        <w:rPr>
          <w:rFonts w:cs="Times New Roman"/>
          <w:lang w:val="es-ES"/>
        </w:rPr>
      </w:pPr>
      <w:r w:rsidRPr="000F19E8">
        <w:rPr>
          <w:lang w:val="es-ES"/>
        </w:rPr>
        <w:t xml:space="preserve">La dimensión económica del incidente no tiene precedentes en Aguas de Cádiz, afectando </w:t>
      </w:r>
      <w:r>
        <w:rPr>
          <w:lang w:val="es-ES"/>
        </w:rPr>
        <w:t>su impacto a varios ejercicios como consecuencia de las inversiones en instalaciones interiores y sustitución de redes</w:t>
      </w:r>
    </w:p>
    <w:p w:rsidR="002C5374" w:rsidRDefault="002C5374">
      <w:pPr>
        <w:jc w:val="left"/>
        <w:rPr>
          <w:rFonts w:cs="Times New Roman"/>
          <w:lang w:val="es-ES"/>
        </w:rPr>
      </w:pPr>
      <w:r>
        <w:rPr>
          <w:rFonts w:cs="Times New Roman"/>
          <w:lang w:val="es-ES"/>
        </w:rPr>
        <w:br w:type="page"/>
      </w:r>
    </w:p>
    <w:p w:rsidR="002C5374" w:rsidRPr="002847E5" w:rsidRDefault="002C5374" w:rsidP="000B6052">
      <w:pPr>
        <w:pStyle w:val="Heading1"/>
        <w:ind w:left="431" w:hanging="431"/>
        <w:rPr>
          <w:rFonts w:cs="Times New Roman"/>
          <w:lang w:val="es-ES"/>
        </w:rPr>
      </w:pPr>
      <w:bookmarkStart w:id="33" w:name="_Toc444604697"/>
      <w:bookmarkStart w:id="34" w:name="_Toc444607450"/>
      <w:r>
        <w:rPr>
          <w:lang w:val="es-ES"/>
        </w:rPr>
        <w:t>RECOMENDACIONES</w:t>
      </w:r>
      <w:bookmarkEnd w:id="33"/>
      <w:bookmarkEnd w:id="34"/>
    </w:p>
    <w:p w:rsidR="002C5374" w:rsidRDefault="002C5374" w:rsidP="000B6052">
      <w:pPr>
        <w:rPr>
          <w:rFonts w:cs="Times New Roman"/>
          <w:lang w:val="es-ES"/>
        </w:rPr>
      </w:pPr>
      <w:r w:rsidRPr="00E50223">
        <w:rPr>
          <w:lang w:val="es-ES"/>
        </w:rPr>
        <w:t xml:space="preserve">Del trabajo de análisis y valoración realizado se ponen de manifiesto una serie de mejoras en materia de procedimientos operativos, de gestión y de comunicación, </w:t>
      </w:r>
      <w:r>
        <w:rPr>
          <w:lang w:val="es-ES"/>
        </w:rPr>
        <w:t xml:space="preserve">así como de acuerdos con la autoridad sanitaria, </w:t>
      </w:r>
      <w:r w:rsidRPr="00E50223">
        <w:rPr>
          <w:lang w:val="es-ES"/>
        </w:rPr>
        <w:t>que podrían ser objeto de estudio</w:t>
      </w:r>
      <w:r>
        <w:rPr>
          <w:lang w:val="es-ES"/>
        </w:rPr>
        <w:t>, puesta en práctica</w:t>
      </w:r>
      <w:r w:rsidRPr="00E50223">
        <w:rPr>
          <w:lang w:val="es-ES"/>
        </w:rPr>
        <w:t xml:space="preserve"> e implantación en Aguas de Cádiz. Se exponen a continuación con carácter de recomendaciones </w:t>
      </w:r>
      <w:r>
        <w:rPr>
          <w:lang w:val="es-ES"/>
        </w:rPr>
        <w:t xml:space="preserve">para su estudio interno </w:t>
      </w:r>
      <w:r w:rsidRPr="00E50223">
        <w:rPr>
          <w:lang w:val="es-ES"/>
        </w:rPr>
        <w:t>dichas propuestas de mejora.</w:t>
      </w:r>
    </w:p>
    <w:p w:rsidR="002C5374" w:rsidRDefault="002C5374" w:rsidP="000B6052">
      <w:pPr>
        <w:rPr>
          <w:rFonts w:cs="Times New Roman"/>
          <w:lang w:val="es-ES"/>
        </w:rPr>
      </w:pPr>
    </w:p>
    <w:p w:rsidR="002C5374" w:rsidRPr="00CD3178" w:rsidRDefault="002C5374" w:rsidP="000B6052">
      <w:pPr>
        <w:pStyle w:val="Heading2"/>
        <w:rPr>
          <w:rFonts w:cs="Times New Roman"/>
          <w:b w:val="0"/>
          <w:bCs w:val="0"/>
          <w:lang w:val="es-ES"/>
        </w:rPr>
      </w:pPr>
      <w:bookmarkStart w:id="35" w:name="_Toc444604698"/>
      <w:bookmarkStart w:id="36" w:name="_Toc444607451"/>
      <w:r w:rsidRPr="00CD3178">
        <w:rPr>
          <w:b w:val="0"/>
          <w:bCs w:val="0"/>
          <w:lang w:val="es-ES"/>
        </w:rPr>
        <w:t xml:space="preserve">RECOMENDACIONES </w:t>
      </w:r>
      <w:bookmarkEnd w:id="35"/>
      <w:r>
        <w:rPr>
          <w:b w:val="0"/>
          <w:bCs w:val="0"/>
          <w:lang w:val="es-ES"/>
        </w:rPr>
        <w:t>SOBRE ACUERDOS CON LA AUTORIDAD SANITARIA</w:t>
      </w:r>
      <w:bookmarkEnd w:id="36"/>
    </w:p>
    <w:p w:rsidR="002C5374" w:rsidRDefault="002C5374" w:rsidP="000B6052">
      <w:pPr>
        <w:rPr>
          <w:lang w:val="es-ES"/>
        </w:rPr>
      </w:pPr>
      <w:r>
        <w:rPr>
          <w:lang w:val="es-ES"/>
        </w:rPr>
        <w:t xml:space="preserve">En la actualidad y como consecuencia del incidente se mantienen medidas extraordinarias en el sector Loreto:  </w:t>
      </w:r>
    </w:p>
    <w:p w:rsidR="002C5374" w:rsidRDefault="002C5374" w:rsidP="000B6052">
      <w:pPr>
        <w:numPr>
          <w:ilvl w:val="0"/>
          <w:numId w:val="9"/>
        </w:numPr>
        <w:spacing w:after="240"/>
        <w:ind w:left="714" w:hanging="357"/>
        <w:rPr>
          <w:lang w:val="es-ES"/>
        </w:rPr>
      </w:pPr>
      <w:r>
        <w:rPr>
          <w:lang w:val="es-ES"/>
        </w:rPr>
        <w:t>Por exigencia de la autoridad sanitaria se siguen realizando analíticas de control con frecuencia semanal y mensual que no se realizan en otros sectores de la ciudad.</w:t>
      </w:r>
    </w:p>
    <w:p w:rsidR="002C5374" w:rsidRDefault="002C5374" w:rsidP="000B6052">
      <w:pPr>
        <w:numPr>
          <w:ilvl w:val="0"/>
          <w:numId w:val="9"/>
        </w:numPr>
        <w:spacing w:after="240"/>
        <w:ind w:left="714" w:hanging="357"/>
        <w:rPr>
          <w:rFonts w:cs="Times New Roman"/>
          <w:lang w:val="es-ES"/>
        </w:rPr>
      </w:pPr>
      <w:r w:rsidRPr="005075E0">
        <w:rPr>
          <w:lang w:val="es-ES"/>
        </w:rPr>
        <w:t xml:space="preserve">La autoridad sanitaria no se ha pronunciado al respecto del mantenimiento de los subsectores establecidos </w:t>
      </w:r>
    </w:p>
    <w:p w:rsidR="002C5374" w:rsidRDefault="002C5374" w:rsidP="000B6052">
      <w:pPr>
        <w:rPr>
          <w:lang w:val="es-ES"/>
        </w:rPr>
      </w:pPr>
      <w:r>
        <w:rPr>
          <w:lang w:val="es-ES"/>
        </w:rPr>
        <w:t xml:space="preserve">Se recomienda normalizar de forma definitiva la actual situación de subsectorización y analíticas extraordinarias mediante acuerdo con la autoridad sanitaria. </w:t>
      </w:r>
    </w:p>
    <w:p w:rsidR="002C5374" w:rsidRPr="005075E0" w:rsidRDefault="002C5374" w:rsidP="000B6052">
      <w:pPr>
        <w:rPr>
          <w:rFonts w:cs="Times New Roman"/>
          <w:lang w:val="es-ES"/>
        </w:rPr>
      </w:pPr>
    </w:p>
    <w:p w:rsidR="002C5374" w:rsidRPr="00174B27" w:rsidRDefault="002C5374" w:rsidP="000B6052">
      <w:pPr>
        <w:pStyle w:val="Heading2"/>
        <w:rPr>
          <w:rFonts w:cs="Times New Roman"/>
          <w:b w:val="0"/>
          <w:bCs w:val="0"/>
          <w:lang w:val="es-ES"/>
        </w:rPr>
      </w:pPr>
      <w:bookmarkStart w:id="37" w:name="_Toc444604699"/>
      <w:bookmarkStart w:id="38" w:name="_Toc444607452"/>
      <w:r>
        <w:rPr>
          <w:b w:val="0"/>
          <w:bCs w:val="0"/>
          <w:lang w:val="es-ES"/>
        </w:rPr>
        <w:t>RECOMENDACIONES SOBRE PROCEDIMIENTOS OPERATIVOS</w:t>
      </w:r>
      <w:bookmarkEnd w:id="37"/>
      <w:bookmarkEnd w:id="38"/>
    </w:p>
    <w:p w:rsidR="002C5374" w:rsidRDefault="002C5374" w:rsidP="000B6052">
      <w:pPr>
        <w:rPr>
          <w:lang w:val="es-ES"/>
        </w:rPr>
      </w:pPr>
      <w:r>
        <w:rPr>
          <w:lang w:val="es-ES"/>
        </w:rPr>
        <w:t>Con referencia a los procedimientos operativos que se realizan en la red de abastecimiento de Aguas de Cádiz, se proponen las siguientes mejoras:</w:t>
      </w:r>
    </w:p>
    <w:p w:rsidR="002C5374" w:rsidRDefault="002C5374" w:rsidP="000B6052">
      <w:pPr>
        <w:numPr>
          <w:ilvl w:val="0"/>
          <w:numId w:val="9"/>
        </w:numPr>
        <w:spacing w:after="240"/>
        <w:ind w:left="714" w:hanging="357"/>
        <w:rPr>
          <w:lang w:val="es-ES"/>
        </w:rPr>
      </w:pPr>
      <w:r>
        <w:rPr>
          <w:lang w:val="es-ES"/>
        </w:rPr>
        <w:t>Creación de un registro completo y actualizado de tramos de tuberías con velocidad nula en régimen estacionario (fondos de saco)</w:t>
      </w:r>
    </w:p>
    <w:p w:rsidR="002C5374" w:rsidRDefault="002C5374" w:rsidP="000B6052">
      <w:pPr>
        <w:numPr>
          <w:ilvl w:val="0"/>
          <w:numId w:val="9"/>
        </w:numPr>
        <w:spacing w:after="240"/>
        <w:ind w:left="714" w:hanging="357"/>
        <w:rPr>
          <w:lang w:val="es-ES"/>
        </w:rPr>
      </w:pPr>
      <w:r>
        <w:rPr>
          <w:lang w:val="es-ES"/>
        </w:rPr>
        <w:t>Creación de un registro de maniobras y accionamiento de válvulas de la red</w:t>
      </w:r>
    </w:p>
    <w:p w:rsidR="002C5374" w:rsidRDefault="002C5374" w:rsidP="000B6052">
      <w:pPr>
        <w:numPr>
          <w:ilvl w:val="0"/>
          <w:numId w:val="9"/>
        </w:numPr>
        <w:spacing w:after="240"/>
        <w:ind w:left="714" w:hanging="357"/>
        <w:rPr>
          <w:lang w:val="es-ES"/>
        </w:rPr>
      </w:pPr>
      <w:r>
        <w:rPr>
          <w:lang w:val="es-ES"/>
        </w:rPr>
        <w:t xml:space="preserve">Implantación de un sistema automático de cloración </w:t>
      </w:r>
    </w:p>
    <w:p w:rsidR="002C5374" w:rsidRDefault="002C5374" w:rsidP="000B6052">
      <w:pPr>
        <w:numPr>
          <w:ilvl w:val="0"/>
          <w:numId w:val="9"/>
        </w:numPr>
        <w:spacing w:after="240"/>
        <w:ind w:left="714" w:hanging="357"/>
        <w:rPr>
          <w:lang w:val="es-ES"/>
        </w:rPr>
      </w:pPr>
      <w:r>
        <w:rPr>
          <w:lang w:val="es-ES"/>
        </w:rPr>
        <w:t>Implantación de un procedimiento por el que sólo se puedan tomar muestras en modelos normalizados</w:t>
      </w:r>
    </w:p>
    <w:p w:rsidR="002C5374" w:rsidRDefault="002C5374" w:rsidP="000B6052">
      <w:pPr>
        <w:numPr>
          <w:ilvl w:val="0"/>
          <w:numId w:val="9"/>
        </w:numPr>
        <w:spacing w:after="240"/>
        <w:ind w:left="714" w:hanging="357"/>
        <w:rPr>
          <w:lang w:val="es-ES"/>
        </w:rPr>
      </w:pPr>
      <w:r>
        <w:rPr>
          <w:lang w:val="es-ES"/>
        </w:rPr>
        <w:t>Exigencia al laboratorio de la posibilidad de realizar muestras diluidas</w:t>
      </w:r>
    </w:p>
    <w:p w:rsidR="002C5374" w:rsidRDefault="002C5374" w:rsidP="000B6052">
      <w:pPr>
        <w:jc w:val="left"/>
        <w:rPr>
          <w:rFonts w:cs="Times New Roman"/>
          <w:lang w:val="es-ES"/>
        </w:rPr>
      </w:pPr>
      <w:r>
        <w:rPr>
          <w:rFonts w:cs="Times New Roman"/>
          <w:lang w:val="es-ES"/>
        </w:rPr>
        <w:br w:type="page"/>
      </w:r>
    </w:p>
    <w:p w:rsidR="002C5374" w:rsidRPr="00174B27" w:rsidRDefault="002C5374" w:rsidP="000B6052">
      <w:pPr>
        <w:pStyle w:val="Heading2"/>
        <w:rPr>
          <w:rFonts w:cs="Times New Roman"/>
          <w:b w:val="0"/>
          <w:bCs w:val="0"/>
          <w:lang w:val="es-ES"/>
        </w:rPr>
      </w:pPr>
      <w:bookmarkStart w:id="39" w:name="_Toc444604700"/>
      <w:bookmarkStart w:id="40" w:name="_Toc444607453"/>
      <w:r>
        <w:rPr>
          <w:b w:val="0"/>
          <w:bCs w:val="0"/>
          <w:lang w:val="es-ES"/>
        </w:rPr>
        <w:t>RECOMENDACIONES SOBRE PROCEDIMIENTOS DE GESTIÓN Y COMUNICACIÓN EN SITUACIONES DE CRISIS</w:t>
      </w:r>
      <w:bookmarkEnd w:id="39"/>
      <w:bookmarkEnd w:id="40"/>
    </w:p>
    <w:p w:rsidR="002C5374" w:rsidRDefault="002C5374" w:rsidP="000B6052">
      <w:pPr>
        <w:rPr>
          <w:lang w:val="es-ES"/>
        </w:rPr>
      </w:pPr>
      <w:r>
        <w:rPr>
          <w:lang w:val="es-ES"/>
        </w:rPr>
        <w:t>Con referencia a los procedimientos de gestión y comunicación en situaciones de crisis, se proponen las siguientes mejoras:</w:t>
      </w:r>
    </w:p>
    <w:p w:rsidR="002C5374" w:rsidRDefault="002C5374" w:rsidP="000B6052">
      <w:pPr>
        <w:numPr>
          <w:ilvl w:val="0"/>
          <w:numId w:val="9"/>
        </w:numPr>
        <w:spacing w:after="240"/>
        <w:ind w:left="714" w:hanging="357"/>
        <w:rPr>
          <w:lang w:val="es-ES"/>
        </w:rPr>
      </w:pPr>
      <w:r>
        <w:rPr>
          <w:lang w:val="es-ES"/>
        </w:rPr>
        <w:t>Debe elaborarse un plan de prevención de crisis, en el que se identifiquen y analicen los riesgos a los que está sometido la empresa</w:t>
      </w:r>
    </w:p>
    <w:p w:rsidR="002C5374" w:rsidRDefault="002C5374" w:rsidP="000B6052">
      <w:pPr>
        <w:numPr>
          <w:ilvl w:val="0"/>
          <w:numId w:val="9"/>
        </w:numPr>
        <w:spacing w:after="240"/>
        <w:ind w:left="714" w:hanging="357"/>
        <w:rPr>
          <w:lang w:val="es-ES"/>
        </w:rPr>
      </w:pPr>
      <w:r>
        <w:rPr>
          <w:lang w:val="es-ES"/>
        </w:rPr>
        <w:t>Debe elaborarse un plan crisis que contendrá la implementación de un sistema de gestión de crisis y un plan de comunicación</w:t>
      </w:r>
    </w:p>
    <w:p w:rsidR="002C5374" w:rsidRDefault="002C5374" w:rsidP="000B6052">
      <w:pPr>
        <w:numPr>
          <w:ilvl w:val="0"/>
          <w:numId w:val="9"/>
        </w:numPr>
        <w:spacing w:after="240"/>
        <w:ind w:left="714" w:hanging="357"/>
        <w:rPr>
          <w:lang w:val="es-ES"/>
        </w:rPr>
      </w:pPr>
      <w:r>
        <w:rPr>
          <w:lang w:val="es-ES"/>
        </w:rPr>
        <w:t>El sistema de gestión de crisis contemplará entre otras medidas la creación de un comité de crisis cuya función principal debe ser apoyar al máximo responsable de la gestión de la situación</w:t>
      </w:r>
    </w:p>
    <w:p w:rsidR="002C5374" w:rsidRDefault="002C5374" w:rsidP="007F2F98">
      <w:pPr>
        <w:spacing w:after="240"/>
        <w:rPr>
          <w:rFonts w:cs="Times New Roman"/>
          <w:lang w:val="es-ES"/>
        </w:rPr>
      </w:pPr>
    </w:p>
    <w:p w:rsidR="002C5374" w:rsidRDefault="002C5374" w:rsidP="007F2F98">
      <w:pPr>
        <w:spacing w:after="240"/>
        <w:rPr>
          <w:lang w:val="es-ES"/>
        </w:rPr>
      </w:pPr>
      <w:r>
        <w:rPr>
          <w:lang w:val="es-ES"/>
        </w:rPr>
        <w:t>El presente Resumen Ejecutivo del Informe de Resultados de la Comisión para el estudio y esclarecimiento del incidente en el servicio de abastecimiento de agua ocurrido en el Barrio de Loretoen septiembre y octubre de 2014, consta de 21 páginas numeradas.</w:t>
      </w:r>
    </w:p>
    <w:p w:rsidR="002C5374" w:rsidRPr="000F19E8" w:rsidRDefault="002C5374" w:rsidP="007F2F98">
      <w:pPr>
        <w:spacing w:after="240"/>
        <w:jc w:val="right"/>
        <w:rPr>
          <w:rFonts w:cs="Times New Roman"/>
          <w:lang w:val="es-ES"/>
        </w:rPr>
      </w:pPr>
      <w:r>
        <w:rPr>
          <w:lang w:val="es-ES"/>
        </w:rPr>
        <w:t>Cádiz, 29 de febrero de 2016</w:t>
      </w:r>
    </w:p>
    <w:p w:rsidR="002C5374" w:rsidRDefault="002C5374" w:rsidP="007F2F98">
      <w:pPr>
        <w:jc w:val="center"/>
        <w:rPr>
          <w:rFonts w:cs="Times New Roman"/>
          <w:lang w:val="es-ES"/>
        </w:rPr>
      </w:pPr>
    </w:p>
    <w:p w:rsidR="002C5374" w:rsidRDefault="002C5374" w:rsidP="007F2F98">
      <w:pPr>
        <w:jc w:val="center"/>
        <w:rPr>
          <w:lang w:val="es-ES"/>
        </w:rPr>
      </w:pPr>
      <w:r>
        <w:rPr>
          <w:lang w:val="es-ES"/>
        </w:rPr>
        <w:t>El Director-Gerente</w:t>
      </w:r>
    </w:p>
    <w:p w:rsidR="002C5374" w:rsidRDefault="002C5374" w:rsidP="007F2F98">
      <w:pPr>
        <w:jc w:val="center"/>
        <w:rPr>
          <w:lang w:val="es-ES"/>
        </w:rPr>
      </w:pPr>
    </w:p>
    <w:p w:rsidR="002C5374" w:rsidRDefault="002C5374" w:rsidP="007F2F98">
      <w:pPr>
        <w:jc w:val="center"/>
        <w:rPr>
          <w:lang w:val="es-ES"/>
        </w:rPr>
      </w:pPr>
    </w:p>
    <w:p w:rsidR="002C5374" w:rsidRDefault="002C5374" w:rsidP="007F2F98">
      <w:pPr>
        <w:jc w:val="center"/>
        <w:rPr>
          <w:lang w:val="es-ES"/>
        </w:rPr>
      </w:pPr>
    </w:p>
    <w:p w:rsidR="002C5374" w:rsidRDefault="002C5374" w:rsidP="007F2F98">
      <w:pPr>
        <w:spacing w:before="0" w:after="0"/>
        <w:jc w:val="center"/>
        <w:rPr>
          <w:lang w:val="es-ES"/>
        </w:rPr>
      </w:pPr>
      <w:r>
        <w:rPr>
          <w:lang w:val="es-ES"/>
        </w:rPr>
        <w:t>Fdo. Jesús Oliden Rodríguez-Sánchez</w:t>
      </w:r>
    </w:p>
    <w:p w:rsidR="002C5374" w:rsidRDefault="002C5374" w:rsidP="007F2F98">
      <w:pPr>
        <w:spacing w:before="0" w:after="0"/>
        <w:jc w:val="center"/>
        <w:rPr>
          <w:lang w:val="es-ES"/>
        </w:rPr>
      </w:pPr>
      <w:r>
        <w:rPr>
          <w:lang w:val="es-ES"/>
        </w:rPr>
        <w:t>Ingeniero Técnico de Obras Públicas</w:t>
      </w:r>
    </w:p>
    <w:p w:rsidR="002C5374" w:rsidRDefault="002C5374" w:rsidP="007F2F98">
      <w:pPr>
        <w:jc w:val="left"/>
        <w:rPr>
          <w:rFonts w:cs="Times New Roman"/>
          <w:lang w:val="es-ES"/>
        </w:rPr>
      </w:pPr>
    </w:p>
    <w:p w:rsidR="002C5374" w:rsidRDefault="002C5374" w:rsidP="007F2F98">
      <w:pPr>
        <w:jc w:val="left"/>
        <w:rPr>
          <w:lang w:val="es-ES"/>
        </w:rPr>
      </w:pPr>
      <w:r>
        <w:rPr>
          <w:lang w:val="es-ES"/>
        </w:rPr>
        <w:t>El Jefe de Compras, Contratación y Almacén</w:t>
      </w:r>
      <w:r>
        <w:rPr>
          <w:lang w:val="es-ES"/>
        </w:rPr>
        <w:tab/>
      </w:r>
      <w:r>
        <w:rPr>
          <w:lang w:val="es-ES"/>
        </w:rPr>
        <w:tab/>
        <w:t>El Jefe de Desarrollos, Control y Sistemas</w:t>
      </w:r>
    </w:p>
    <w:p w:rsidR="002C5374" w:rsidRDefault="002C5374" w:rsidP="007F2F98">
      <w:pPr>
        <w:jc w:val="left"/>
        <w:rPr>
          <w:lang w:val="es-ES"/>
        </w:rPr>
      </w:pPr>
    </w:p>
    <w:p w:rsidR="002C5374" w:rsidRDefault="002C5374" w:rsidP="007F2F98">
      <w:pPr>
        <w:jc w:val="left"/>
        <w:rPr>
          <w:lang w:val="es-ES"/>
        </w:rPr>
      </w:pPr>
    </w:p>
    <w:p w:rsidR="002C5374" w:rsidRDefault="002C5374" w:rsidP="007F2F98">
      <w:pPr>
        <w:jc w:val="left"/>
        <w:rPr>
          <w:lang w:val="es-ES"/>
        </w:rPr>
      </w:pPr>
    </w:p>
    <w:p w:rsidR="002C5374" w:rsidRDefault="002C5374" w:rsidP="007F2F98">
      <w:pPr>
        <w:spacing w:before="0" w:after="0"/>
        <w:jc w:val="left"/>
        <w:rPr>
          <w:lang w:val="es-ES"/>
        </w:rPr>
      </w:pPr>
      <w:r>
        <w:rPr>
          <w:lang w:val="es-ES"/>
        </w:rPr>
        <w:t xml:space="preserve">   Fdo. José Antonio Campo-Cossío García</w:t>
      </w:r>
      <w:r>
        <w:rPr>
          <w:lang w:val="es-ES"/>
        </w:rPr>
        <w:tab/>
      </w:r>
      <w:r>
        <w:rPr>
          <w:lang w:val="es-ES"/>
        </w:rPr>
        <w:tab/>
      </w:r>
      <w:r>
        <w:rPr>
          <w:lang w:val="es-ES"/>
        </w:rPr>
        <w:tab/>
        <w:t>Fdo. Pedro González Díaz</w:t>
      </w:r>
    </w:p>
    <w:p w:rsidR="002C5374" w:rsidRDefault="002C5374" w:rsidP="007F2F98">
      <w:pPr>
        <w:spacing w:before="0" w:after="0"/>
        <w:jc w:val="left"/>
        <w:rPr>
          <w:lang w:val="es-ES"/>
        </w:rPr>
      </w:pPr>
      <w:r>
        <w:rPr>
          <w:lang w:val="es-ES"/>
        </w:rPr>
        <w:t xml:space="preserve">             Ingeniero Técnico Industrial</w:t>
      </w:r>
      <w:r>
        <w:rPr>
          <w:lang w:val="es-ES"/>
        </w:rPr>
        <w:tab/>
      </w:r>
      <w:r>
        <w:rPr>
          <w:lang w:val="es-ES"/>
        </w:rPr>
        <w:tab/>
      </w:r>
      <w:r>
        <w:rPr>
          <w:lang w:val="es-ES"/>
        </w:rPr>
        <w:tab/>
        <w:t xml:space="preserve">          Ingeniero de Telecomunicación</w:t>
      </w:r>
    </w:p>
    <w:sectPr w:rsidR="002C5374" w:rsidSect="0055470D">
      <w:headerReference w:type="default" r:id="rId16"/>
      <w:footerReference w:type="default" r:id="rId17"/>
      <w:pgSz w:w="11906" w:h="16838" w:code="9"/>
      <w:pgMar w:top="1843" w:right="1418" w:bottom="1418" w:left="1418" w:header="851" w:footer="8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5374" w:rsidRDefault="002C5374">
      <w:pPr>
        <w:rPr>
          <w:rFonts w:cs="Times New Roman"/>
        </w:rPr>
      </w:pPr>
      <w:r>
        <w:rPr>
          <w:rFonts w:cs="Times New Roman"/>
        </w:rPr>
        <w:separator/>
      </w:r>
    </w:p>
  </w:endnote>
  <w:endnote w:type="continuationSeparator" w:id="1">
    <w:p w:rsidR="002C5374" w:rsidRDefault="002C5374">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PMingLiU">
    <w:altName w:val="¡Ps2OcuAe"/>
    <w:panose1 w:val="02010601000101010101"/>
    <w:charset w:val="88"/>
    <w:family w:val="auto"/>
    <w:notTrueType/>
    <w:pitch w:val="variable"/>
    <w:sig w:usb0="00000001" w:usb1="08080000" w:usb2="00000010" w:usb3="00000000" w:csb0="001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374" w:rsidRPr="00431A53" w:rsidRDefault="002C5374" w:rsidP="003D03F7">
    <w:pPr>
      <w:pStyle w:val="Footer"/>
      <w:tabs>
        <w:tab w:val="left" w:pos="2703"/>
        <w:tab w:val="center" w:pos="4459"/>
      </w:tabs>
      <w:spacing w:before="0" w:after="0" w:line="240" w:lineRule="auto"/>
      <w:rPr>
        <w:rFonts w:cs="Times New Roman"/>
        <w:sz w:val="1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374" w:rsidRPr="000B6052" w:rsidRDefault="002C5374" w:rsidP="004051B8">
    <w:pPr>
      <w:pStyle w:val="Footer"/>
      <w:spacing w:before="0" w:after="0" w:line="240" w:lineRule="auto"/>
      <w:jc w:val="center"/>
      <w:rPr>
        <w:rFonts w:cs="Times New Roman"/>
        <w:sz w:val="16"/>
        <w:szCs w:val="16"/>
        <w:lang w:val="es-ES"/>
      </w:rPr>
    </w:pPr>
    <w:r>
      <w:rPr>
        <w:noProof/>
        <w:lang w:val="es-ES" w:eastAsia="es-ES"/>
      </w:rPr>
      <w:pict>
        <v:line id="Line 39" o:spid="_x0000_s2055" style="position:absolute;left:0;text-align:left;z-index:251660288;visibility:visible" from="-.9pt,4.25pt" to="459.1pt,4.25pt" strokecolor="#867852" strokeweight="1pt"/>
      </w:pict>
    </w:r>
    <w:r>
      <w:rPr>
        <w:noProof/>
        <w:lang w:val="es-ES" w:eastAsia="es-ES"/>
      </w:rPr>
      <w:pict>
        <v:shapetype id="_x0000_t202" coordsize="21600,21600" o:spt="202" path="m,l,21600r21600,l21600,xe">
          <v:stroke joinstyle="miter"/>
          <v:path gradientshapeok="t" o:connecttype="rect"/>
        </v:shapetype>
        <v:shape id="Text Box 43" o:spid="_x0000_s2056" type="#_x0000_t202" style="position:absolute;left:0;text-align:left;margin-left:-11.95pt;margin-top:8.55pt;width:213.2pt;height:34.3pt;z-index:251661312;visibility:visible" filled="f" stroked="f">
          <v:textbox>
            <w:txbxContent>
              <w:p w:rsidR="002C5374" w:rsidRPr="00BB75AD" w:rsidRDefault="002C5374" w:rsidP="00A75A38">
                <w:pPr>
                  <w:spacing w:before="120" w:after="120"/>
                  <w:jc w:val="left"/>
                  <w:rPr>
                    <w:rFonts w:cs="Times New Roman"/>
                    <w:color w:val="323232"/>
                    <w:lang w:val="es-ES"/>
                  </w:rPr>
                </w:pPr>
              </w:p>
              <w:p w:rsidR="002C5374" w:rsidRPr="00BB75AD" w:rsidRDefault="002C5374" w:rsidP="004051B8">
                <w:pPr>
                  <w:spacing w:before="120" w:after="120"/>
                  <w:jc w:val="left"/>
                  <w:rPr>
                    <w:rFonts w:cs="Times New Roman"/>
                    <w:color w:val="323232"/>
                    <w:lang w:val="es-ES"/>
                  </w:rPr>
                </w:pPr>
              </w:p>
            </w:txbxContent>
          </v:textbox>
        </v:shape>
      </w:pict>
    </w:r>
  </w:p>
  <w:p w:rsidR="002C5374" w:rsidRDefault="002C5374" w:rsidP="00467A6C">
    <w:pPr>
      <w:pStyle w:val="Footer"/>
      <w:spacing w:before="0" w:after="0" w:line="240" w:lineRule="auto"/>
      <w:jc w:val="center"/>
      <w:rPr>
        <w:rFonts w:cs="Times New Roman"/>
        <w:sz w:val="16"/>
        <w:szCs w:val="16"/>
        <w:lang w:val="pt-PT"/>
      </w:rPr>
    </w:pPr>
  </w:p>
  <w:p w:rsidR="002C5374" w:rsidRPr="000B6052" w:rsidRDefault="002C5374" w:rsidP="00973ED3">
    <w:pPr>
      <w:pStyle w:val="Footer"/>
      <w:tabs>
        <w:tab w:val="clear" w:pos="8504"/>
        <w:tab w:val="left" w:pos="1842"/>
        <w:tab w:val="center" w:pos="4535"/>
        <w:tab w:val="right" w:pos="9070"/>
      </w:tabs>
      <w:spacing w:before="0" w:after="0" w:line="240" w:lineRule="auto"/>
      <w:rPr>
        <w:rFonts w:cs="Times New Roman"/>
        <w:sz w:val="16"/>
        <w:szCs w:val="16"/>
        <w:lang w:val="es-ES"/>
      </w:rPr>
    </w:pPr>
    <w:r w:rsidRPr="002E164A">
      <w:rPr>
        <w:sz w:val="16"/>
        <w:szCs w:val="16"/>
        <w:lang w:val="pt-PT"/>
      </w:rPr>
      <w:t xml:space="preserve">Pág. </w:t>
    </w:r>
    <w:r w:rsidRPr="009355CE">
      <w:rPr>
        <w:rStyle w:val="PageNumber"/>
        <w:sz w:val="16"/>
        <w:szCs w:val="16"/>
        <w:lang w:val="pt-PT"/>
      </w:rPr>
      <w:fldChar w:fldCharType="begin"/>
    </w:r>
    <w:r w:rsidRPr="009355CE">
      <w:rPr>
        <w:rStyle w:val="PageNumber"/>
        <w:sz w:val="16"/>
        <w:szCs w:val="16"/>
        <w:lang w:val="pt-PT"/>
      </w:rPr>
      <w:instrText xml:space="preserve"> PAGE </w:instrText>
    </w:r>
    <w:r w:rsidRPr="009355CE">
      <w:rPr>
        <w:rStyle w:val="PageNumber"/>
        <w:sz w:val="16"/>
        <w:szCs w:val="16"/>
        <w:lang w:val="pt-PT"/>
      </w:rPr>
      <w:fldChar w:fldCharType="separate"/>
    </w:r>
    <w:r>
      <w:rPr>
        <w:rStyle w:val="PageNumber"/>
        <w:noProof/>
        <w:sz w:val="16"/>
        <w:szCs w:val="16"/>
        <w:lang w:val="pt-PT"/>
      </w:rPr>
      <w:t>23</w:t>
    </w:r>
    <w:r w:rsidRPr="009355CE">
      <w:rPr>
        <w:rStyle w:val="PageNumber"/>
        <w:sz w:val="16"/>
        <w:szCs w:val="16"/>
        <w:lang w:val="pt-PT"/>
      </w:rPr>
      <w:fldChar w:fldCharType="end"/>
    </w:r>
    <w:r w:rsidRPr="000B6052">
      <w:rPr>
        <w:rStyle w:val="PageNumber"/>
        <w:rFonts w:cs="Times New Roman"/>
        <w:sz w:val="16"/>
        <w:szCs w:val="16"/>
        <w:lang w:val="es-ES"/>
      </w:rPr>
      <w:tab/>
    </w:r>
    <w:r w:rsidRPr="000B6052">
      <w:rPr>
        <w:rStyle w:val="PageNumber"/>
        <w:rFonts w:cs="Times New Roman"/>
        <w:sz w:val="16"/>
        <w:szCs w:val="16"/>
        <w:lang w:val="es-ES"/>
      </w:rPr>
      <w:tab/>
    </w:r>
    <w:r w:rsidRPr="000B6052">
      <w:rPr>
        <w:rStyle w:val="PageNumber"/>
        <w:rFonts w:cs="Times New Roman"/>
        <w:sz w:val="16"/>
        <w:szCs w:val="16"/>
        <w:lang w:val="es-ES"/>
      </w:rPr>
      <w:tab/>
    </w:r>
    <w:r w:rsidRPr="000B6052">
      <w:rPr>
        <w:rStyle w:val="PageNumber"/>
        <w:rFonts w:cs="Times New Roman"/>
        <w:sz w:val="16"/>
        <w:szCs w:val="16"/>
        <w:lang w:val="es-ES"/>
      </w:rPr>
      <w:tab/>
    </w:r>
    <w:r w:rsidRPr="000B6052">
      <w:rPr>
        <w:rStyle w:val="PageNumber"/>
        <w:sz w:val="20"/>
        <w:szCs w:val="20"/>
        <w:lang w:val="es-ES"/>
      </w:rPr>
      <w:t>Informe de Resultados. Resumen Ejecutivo</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5374" w:rsidRDefault="002C5374">
      <w:pPr>
        <w:rPr>
          <w:rFonts w:cs="Times New Roman"/>
        </w:rPr>
      </w:pPr>
      <w:r>
        <w:rPr>
          <w:rFonts w:cs="Times New Roman"/>
        </w:rPr>
        <w:separator/>
      </w:r>
    </w:p>
  </w:footnote>
  <w:footnote w:type="continuationSeparator" w:id="1">
    <w:p w:rsidR="002C5374" w:rsidRDefault="002C5374">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374" w:rsidRPr="00C5372D" w:rsidRDefault="002C5374" w:rsidP="00C5372D">
    <w:pPr>
      <w:pStyle w:val="Header"/>
      <w:tabs>
        <w:tab w:val="clear" w:pos="4252"/>
        <w:tab w:val="center" w:pos="2835"/>
      </w:tabs>
      <w:spacing w:before="0" w:after="0" w:line="240" w:lineRule="auto"/>
      <w:ind w:left="993"/>
      <w:jc w:val="left"/>
      <w:rPr>
        <w:rFonts w:cs="Times New Roman"/>
        <w:color w:val="323232"/>
      </w:rPr>
    </w:pPr>
    <w:r>
      <w:rPr>
        <w:noProof/>
        <w:lang w:val="es-ES" w:eastAsia="es-ES"/>
      </w:rPr>
      <w:pict>
        <v:shapetype id="_x0000_t202" coordsize="21600,21600" o:spt="202" path="m,l,21600r21600,l21600,xe">
          <v:stroke joinstyle="miter"/>
          <v:path gradientshapeok="t" o:connecttype="rect"/>
        </v:shapetype>
        <v:shape id="Text Box 42" o:spid="_x0000_s2049" type="#_x0000_t202" style="position:absolute;left:0;text-align:left;margin-left:162.35pt;margin-top:-21.55pt;width:298.4pt;height:54.75pt;z-index:251655168;visibility:visible" filled="f" stroked="f">
          <v:textbox>
            <w:txbxContent>
              <w:p w:rsidR="002C5374" w:rsidRPr="00B11EFC" w:rsidRDefault="002C5374" w:rsidP="003C61CF">
                <w:pPr>
                  <w:spacing w:before="60" w:after="60" w:line="240" w:lineRule="auto"/>
                  <w:jc w:val="center"/>
                  <w:rPr>
                    <w:rFonts w:cs="Times New Roman"/>
                    <w:lang w:val="es-ES"/>
                  </w:rPr>
                </w:pPr>
                <w:r w:rsidRPr="00BB75AD">
                  <w:rPr>
                    <w:color w:val="323232"/>
                    <w:lang w:val="es-ES"/>
                  </w:rPr>
                  <w:t>Servicios de Asistencia Técnica y Consultoría en materia de Sistemas de Información Geográfica, Modelación y Calibrado Hidráulico de Redes”</w:t>
                </w:r>
              </w:p>
            </w:txbxContent>
          </v:textbox>
        </v:shape>
      </w:pict>
    </w: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2050" type="#_x0000_t75" style="position:absolute;left:0;text-align:left;margin-left:-1.15pt;margin-top:-5.8pt;width:117.75pt;height:29.3pt;z-index:251656192;visibility:visible">
          <v:imagedata r:id="rId1" o:title=""/>
        </v:shape>
      </w:pict>
    </w:r>
    <w:r>
      <w:rPr>
        <w:noProof/>
        <w:lang w:val="es-ES" w:eastAsia="es-ES"/>
      </w:rPr>
      <w:pict>
        <v:line id="Line 29" o:spid="_x0000_s2051" style="position:absolute;left:0;text-align:left;z-index:251654144;visibility:visible" from="-1.1pt,32.85pt" to="460.9pt,32.85pt" strokecolor="#9cf"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374" w:rsidRPr="00C5372D" w:rsidRDefault="002C5374" w:rsidP="004051B8">
    <w:pPr>
      <w:pStyle w:val="Header"/>
      <w:tabs>
        <w:tab w:val="clear" w:pos="4252"/>
        <w:tab w:val="center" w:pos="2835"/>
      </w:tabs>
      <w:spacing w:before="0" w:after="0" w:line="240" w:lineRule="auto"/>
      <w:ind w:left="993"/>
      <w:jc w:val="left"/>
      <w:rPr>
        <w:rFonts w:cs="Times New Roman"/>
        <w:color w:val="323232"/>
      </w:rPr>
    </w:pPr>
    <w:r>
      <w:rPr>
        <w:noProof/>
        <w:lang w:val="es-ES" w:eastAsia="es-ES"/>
      </w:rPr>
      <w:pict>
        <v:shapetype id="_x0000_t202" coordsize="21600,21600" o:spt="202" path="m,l,21600r21600,l21600,xe">
          <v:stroke joinstyle="miter"/>
          <v:path gradientshapeok="t" o:connecttype="rect"/>
        </v:shapetype>
        <v:shape id="_x0000_s2052" type="#_x0000_t202" style="position:absolute;left:0;text-align:left;margin-left:160.75pt;margin-top:-12.3pt;width:298.5pt;height:52.9pt;z-index:251658240;visibility:visible" filled="f" stroked="f">
          <v:textbox>
            <w:txbxContent>
              <w:p w:rsidR="002C5374" w:rsidRPr="00BB75AD" w:rsidRDefault="002C5374" w:rsidP="004051B8">
                <w:pPr>
                  <w:spacing w:before="60" w:after="60" w:line="240" w:lineRule="auto"/>
                  <w:jc w:val="center"/>
                  <w:rPr>
                    <w:color w:val="000000"/>
                    <w:sz w:val="20"/>
                    <w:szCs w:val="20"/>
                    <w:lang w:val="es-ES"/>
                  </w:rPr>
                </w:pPr>
                <w:r w:rsidRPr="00BB75AD">
                  <w:rPr>
                    <w:color w:val="000000"/>
                    <w:sz w:val="20"/>
                    <w:szCs w:val="20"/>
                    <w:lang w:val="es-ES"/>
                  </w:rPr>
                  <w:t>Comisión para el Estudio y Esclarecimiento del Incidente en el Servicio de Abastecimiento de Agua en el Barrio de Loreto ocurrido en septiembre y octubre de 2014</w:t>
                </w:r>
              </w:p>
            </w:txbxContent>
          </v:textbox>
        </v:shape>
      </w:pict>
    </w: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3" o:spid="_x0000_s2053" type="#_x0000_t75" style="position:absolute;left:0;text-align:left;margin-left:-1.15pt;margin-top:-5.8pt;width:117.75pt;height:29.3pt;z-index:251659264;visibility:visible">
          <v:imagedata r:id="rId1" o:title=""/>
        </v:shape>
      </w:pict>
    </w:r>
  </w:p>
  <w:p w:rsidR="002C5374" w:rsidRPr="004051B8" w:rsidRDefault="002C5374" w:rsidP="004051B8">
    <w:pPr>
      <w:pStyle w:val="Header"/>
      <w:rPr>
        <w:rFonts w:cs="Times New Roman"/>
      </w:rPr>
    </w:pPr>
    <w:r>
      <w:rPr>
        <w:noProof/>
        <w:lang w:val="es-ES" w:eastAsia="es-ES"/>
      </w:rPr>
      <w:pict>
        <v:line id="_x0000_s2054" style="position:absolute;left:0;text-align:left;z-index:251657216;visibility:visible" from="2.35pt,18.5pt" to="459.2pt,18.5pt" strokecolor="#867852" strokeweight="1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44280"/>
    <w:multiLevelType w:val="multilevel"/>
    <w:tmpl w:val="F558EF9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val="0"/>
        <w:bCs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06785A99"/>
    <w:multiLevelType w:val="multilevel"/>
    <w:tmpl w:val="C0A6236E"/>
    <w:styleLink w:val="Estilo2"/>
    <w:lvl w:ilvl="0">
      <w:start w:val="1"/>
      <w:numFmt w:val="decimal"/>
      <w:lvlText w:val="%1."/>
      <w:lvlJc w:val="left"/>
      <w:pPr>
        <w:ind w:left="360" w:hanging="360"/>
      </w:pPr>
      <w:rPr>
        <w:rFonts w:hint="default"/>
        <w:b/>
        <w:bCs/>
        <w:i w:val="0"/>
        <w:iCs w:val="0"/>
        <w:color w:val="323232"/>
        <w:sz w:val="28"/>
        <w:szCs w:val="28"/>
      </w:rPr>
    </w:lvl>
    <w:lvl w:ilvl="1">
      <w:start w:val="1"/>
      <w:numFmt w:val="decimal"/>
      <w:lvlText w:val="%1.%2"/>
      <w:lvlJc w:val="left"/>
      <w:pPr>
        <w:tabs>
          <w:tab w:val="num" w:pos="576"/>
        </w:tabs>
        <w:ind w:left="576" w:hanging="576"/>
      </w:pPr>
      <w:rPr>
        <w:rFonts w:hint="default"/>
        <w:b/>
        <w:bCs/>
        <w:i w:val="0"/>
        <w:iCs w:val="0"/>
        <w:sz w:val="22"/>
        <w:szCs w:val="22"/>
      </w:rPr>
    </w:lvl>
    <w:lvl w:ilvl="2">
      <w:start w:val="1"/>
      <w:numFmt w:val="decimal"/>
      <w:lvlText w:val="%1.%2.%3"/>
      <w:lvlJc w:val="left"/>
      <w:pPr>
        <w:tabs>
          <w:tab w:val="num" w:pos="720"/>
        </w:tabs>
        <w:ind w:left="720" w:hanging="720"/>
      </w:pPr>
      <w:rPr>
        <w:rFonts w:hint="default"/>
        <w:i/>
        <w:iCs/>
        <w:caps w:val="0"/>
        <w:sz w:val="22"/>
        <w:szCs w:val="22"/>
      </w:rPr>
    </w:lvl>
    <w:lvl w:ilvl="3">
      <w:start w:val="1"/>
      <w:numFmt w:val="decimal"/>
      <w:lvlText w:val="%1.%2.%3.%4"/>
      <w:lvlJc w:val="left"/>
      <w:pPr>
        <w:tabs>
          <w:tab w:val="num" w:pos="864"/>
        </w:tabs>
        <w:ind w:left="864" w:hanging="864"/>
      </w:pPr>
      <w:rPr>
        <w:rFonts w:hint="default"/>
        <w:b/>
        <w:bCs/>
        <w:i/>
        <w:iCs/>
        <w:sz w:val="20"/>
        <w:szCs w:val="20"/>
      </w:rPr>
    </w:lvl>
    <w:lvl w:ilvl="4">
      <w:start w:val="1"/>
      <w:numFmt w:val="decimal"/>
      <w:lvlText w:val="%1.%2.%3.%4.%5"/>
      <w:lvlJc w:val="left"/>
      <w:pPr>
        <w:tabs>
          <w:tab w:val="num" w:pos="1008"/>
        </w:tabs>
        <w:ind w:left="1008" w:hanging="1008"/>
      </w:pPr>
      <w:rPr>
        <w:rFonts w:hint="default"/>
        <w:b w:val="0"/>
        <w:bCs w:val="0"/>
        <w:i/>
        <w:iCs/>
        <w:sz w:val="20"/>
        <w:szCs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71F728B"/>
    <w:multiLevelType w:val="hybridMultilevel"/>
    <w:tmpl w:val="6CC4FF30"/>
    <w:lvl w:ilvl="0" w:tplc="660A2B92">
      <w:numFmt w:val="bullet"/>
      <w:lvlText w:val="-"/>
      <w:lvlJc w:val="left"/>
      <w:pPr>
        <w:ind w:left="766" w:hanging="360"/>
      </w:pPr>
      <w:rPr>
        <w:rFonts w:ascii="Calibri" w:eastAsia="PMingLiU" w:hAnsi="Calibri" w:hint="default"/>
      </w:rPr>
    </w:lvl>
    <w:lvl w:ilvl="1" w:tplc="0C0A0003">
      <w:start w:val="1"/>
      <w:numFmt w:val="bullet"/>
      <w:lvlText w:val="o"/>
      <w:lvlJc w:val="left"/>
      <w:pPr>
        <w:ind w:left="1486" w:hanging="360"/>
      </w:pPr>
      <w:rPr>
        <w:rFonts w:ascii="Courier New" w:hAnsi="Courier New" w:cs="Courier New" w:hint="default"/>
      </w:rPr>
    </w:lvl>
    <w:lvl w:ilvl="2" w:tplc="0C0A0005">
      <w:start w:val="1"/>
      <w:numFmt w:val="bullet"/>
      <w:lvlText w:val=""/>
      <w:lvlJc w:val="left"/>
      <w:pPr>
        <w:ind w:left="2206" w:hanging="360"/>
      </w:pPr>
      <w:rPr>
        <w:rFonts w:ascii="Wingdings" w:hAnsi="Wingdings" w:cs="Wingdings" w:hint="default"/>
      </w:rPr>
    </w:lvl>
    <w:lvl w:ilvl="3" w:tplc="0C0A0001">
      <w:start w:val="1"/>
      <w:numFmt w:val="bullet"/>
      <w:lvlText w:val=""/>
      <w:lvlJc w:val="left"/>
      <w:pPr>
        <w:ind w:left="2926" w:hanging="360"/>
      </w:pPr>
      <w:rPr>
        <w:rFonts w:ascii="Symbol" w:hAnsi="Symbol" w:cs="Symbol" w:hint="default"/>
      </w:rPr>
    </w:lvl>
    <w:lvl w:ilvl="4" w:tplc="0C0A0003">
      <w:start w:val="1"/>
      <w:numFmt w:val="bullet"/>
      <w:lvlText w:val="o"/>
      <w:lvlJc w:val="left"/>
      <w:pPr>
        <w:ind w:left="3646" w:hanging="360"/>
      </w:pPr>
      <w:rPr>
        <w:rFonts w:ascii="Courier New" w:hAnsi="Courier New" w:cs="Courier New" w:hint="default"/>
      </w:rPr>
    </w:lvl>
    <w:lvl w:ilvl="5" w:tplc="0C0A0005">
      <w:start w:val="1"/>
      <w:numFmt w:val="bullet"/>
      <w:lvlText w:val=""/>
      <w:lvlJc w:val="left"/>
      <w:pPr>
        <w:ind w:left="4366" w:hanging="360"/>
      </w:pPr>
      <w:rPr>
        <w:rFonts w:ascii="Wingdings" w:hAnsi="Wingdings" w:cs="Wingdings" w:hint="default"/>
      </w:rPr>
    </w:lvl>
    <w:lvl w:ilvl="6" w:tplc="0C0A0001">
      <w:start w:val="1"/>
      <w:numFmt w:val="bullet"/>
      <w:lvlText w:val=""/>
      <w:lvlJc w:val="left"/>
      <w:pPr>
        <w:ind w:left="5086" w:hanging="360"/>
      </w:pPr>
      <w:rPr>
        <w:rFonts w:ascii="Symbol" w:hAnsi="Symbol" w:cs="Symbol" w:hint="default"/>
      </w:rPr>
    </w:lvl>
    <w:lvl w:ilvl="7" w:tplc="0C0A0003">
      <w:start w:val="1"/>
      <w:numFmt w:val="bullet"/>
      <w:lvlText w:val="o"/>
      <w:lvlJc w:val="left"/>
      <w:pPr>
        <w:ind w:left="5806" w:hanging="360"/>
      </w:pPr>
      <w:rPr>
        <w:rFonts w:ascii="Courier New" w:hAnsi="Courier New" w:cs="Courier New" w:hint="default"/>
      </w:rPr>
    </w:lvl>
    <w:lvl w:ilvl="8" w:tplc="0C0A0005">
      <w:start w:val="1"/>
      <w:numFmt w:val="bullet"/>
      <w:lvlText w:val=""/>
      <w:lvlJc w:val="left"/>
      <w:pPr>
        <w:ind w:left="6526" w:hanging="360"/>
      </w:pPr>
      <w:rPr>
        <w:rFonts w:ascii="Wingdings" w:hAnsi="Wingdings" w:cs="Wingdings" w:hint="default"/>
      </w:rPr>
    </w:lvl>
  </w:abstractNum>
  <w:abstractNum w:abstractNumId="3">
    <w:nsid w:val="0E3828E9"/>
    <w:multiLevelType w:val="hybridMultilevel"/>
    <w:tmpl w:val="395A8D7A"/>
    <w:lvl w:ilvl="0" w:tplc="660A2B92">
      <w:numFmt w:val="bullet"/>
      <w:lvlText w:val="-"/>
      <w:lvlJc w:val="left"/>
      <w:pPr>
        <w:ind w:left="720" w:hanging="360"/>
      </w:pPr>
      <w:rPr>
        <w:rFonts w:ascii="Calibri" w:eastAsia="PMingLiU" w:hAnsi="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4">
    <w:nsid w:val="0E532B6E"/>
    <w:multiLevelType w:val="multilevel"/>
    <w:tmpl w:val="2F005A5C"/>
    <w:styleLink w:val="Estilo1"/>
    <w:lvl w:ilvl="0">
      <w:start w:val="1"/>
      <w:numFmt w:val="decimal"/>
      <w:lvlText w:val="%1."/>
      <w:lvlJc w:val="left"/>
      <w:pPr>
        <w:ind w:left="360" w:hanging="360"/>
      </w:pPr>
      <w:rPr>
        <w:rFonts w:hint="default"/>
        <w:b/>
        <w:bCs/>
        <w:i w:val="0"/>
        <w:iCs w:val="0"/>
        <w:color w:val="323232"/>
        <w:sz w:val="28"/>
        <w:szCs w:val="28"/>
      </w:rPr>
    </w:lvl>
    <w:lvl w:ilvl="1">
      <w:start w:val="1"/>
      <w:numFmt w:val="decimal"/>
      <w:lvlText w:val="%1.%2"/>
      <w:lvlJc w:val="left"/>
      <w:pPr>
        <w:tabs>
          <w:tab w:val="num" w:pos="576"/>
        </w:tabs>
        <w:ind w:left="576" w:hanging="576"/>
      </w:pPr>
      <w:rPr>
        <w:rFonts w:hint="default"/>
        <w:b/>
        <w:bCs/>
        <w:i w:val="0"/>
        <w:iCs w:val="0"/>
        <w:sz w:val="22"/>
        <w:szCs w:val="22"/>
      </w:rPr>
    </w:lvl>
    <w:lvl w:ilvl="2">
      <w:start w:val="1"/>
      <w:numFmt w:val="decimal"/>
      <w:lvlText w:val="%1.%2.%3"/>
      <w:lvlJc w:val="left"/>
      <w:pPr>
        <w:tabs>
          <w:tab w:val="num" w:pos="720"/>
        </w:tabs>
        <w:ind w:left="720" w:hanging="720"/>
      </w:pPr>
      <w:rPr>
        <w:rFonts w:hint="default"/>
        <w:i/>
        <w:iCs/>
        <w:caps w:val="0"/>
        <w:sz w:val="22"/>
        <w:szCs w:val="22"/>
      </w:rPr>
    </w:lvl>
    <w:lvl w:ilvl="3">
      <w:start w:val="1"/>
      <w:numFmt w:val="decimal"/>
      <w:lvlText w:val="%1.%2.%3.%4"/>
      <w:lvlJc w:val="left"/>
      <w:pPr>
        <w:tabs>
          <w:tab w:val="num" w:pos="864"/>
        </w:tabs>
        <w:ind w:left="864" w:hanging="864"/>
      </w:pPr>
      <w:rPr>
        <w:rFonts w:hint="default"/>
        <w:b/>
        <w:bCs/>
        <w:i/>
        <w:iCs/>
        <w:sz w:val="20"/>
        <w:szCs w:val="20"/>
      </w:rPr>
    </w:lvl>
    <w:lvl w:ilvl="4">
      <w:start w:val="1"/>
      <w:numFmt w:val="decimal"/>
      <w:lvlText w:val="%1.%2.%3.%4.%5"/>
      <w:lvlJc w:val="left"/>
      <w:pPr>
        <w:tabs>
          <w:tab w:val="num" w:pos="1008"/>
        </w:tabs>
        <w:ind w:left="1008" w:hanging="1008"/>
      </w:pPr>
      <w:rPr>
        <w:rFonts w:hint="default"/>
        <w:b w:val="0"/>
        <w:bCs w:val="0"/>
        <w:i/>
        <w:iCs/>
        <w:sz w:val="20"/>
        <w:szCs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1E611614"/>
    <w:multiLevelType w:val="hybridMultilevel"/>
    <w:tmpl w:val="52445196"/>
    <w:lvl w:ilvl="0" w:tplc="660A2B92">
      <w:numFmt w:val="bullet"/>
      <w:lvlText w:val="-"/>
      <w:lvlJc w:val="left"/>
      <w:pPr>
        <w:ind w:left="720" w:hanging="360"/>
      </w:pPr>
      <w:rPr>
        <w:rFonts w:ascii="Calibri" w:eastAsia="PMingLiU" w:hAnsi="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6">
    <w:nsid w:val="230D5F88"/>
    <w:multiLevelType w:val="hybridMultilevel"/>
    <w:tmpl w:val="625A7AF2"/>
    <w:lvl w:ilvl="0" w:tplc="ADB6B370">
      <w:start w:val="1"/>
      <w:numFmt w:val="decimal"/>
      <w:pStyle w:val="Tablas1"/>
      <w:lvlText w:val="Tabla %1."/>
      <w:lvlJc w:val="center"/>
      <w:pPr>
        <w:ind w:left="720" w:hanging="360"/>
      </w:pPr>
      <w:rPr>
        <w:rFonts w:hint="default"/>
        <w:b w:val="0"/>
        <w:bCs w:val="0"/>
        <w:i w:val="0"/>
        <w:iCs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
    <w:nsid w:val="356B766C"/>
    <w:multiLevelType w:val="hybridMultilevel"/>
    <w:tmpl w:val="D864EE98"/>
    <w:lvl w:ilvl="0" w:tplc="660A2B92">
      <w:numFmt w:val="bullet"/>
      <w:lvlText w:val="-"/>
      <w:lvlJc w:val="left"/>
      <w:pPr>
        <w:ind w:left="720" w:hanging="360"/>
      </w:pPr>
      <w:rPr>
        <w:rFonts w:ascii="Calibri" w:eastAsia="PMingLiU" w:hAnsi="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8">
    <w:nsid w:val="37352506"/>
    <w:multiLevelType w:val="hybridMultilevel"/>
    <w:tmpl w:val="55FE4CA0"/>
    <w:lvl w:ilvl="0" w:tplc="0C0A0015">
      <w:start w:val="1"/>
      <w:numFmt w:val="upp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9">
    <w:nsid w:val="468A6EAE"/>
    <w:multiLevelType w:val="hybridMultilevel"/>
    <w:tmpl w:val="9D4E2838"/>
    <w:lvl w:ilvl="0" w:tplc="660A2B92">
      <w:numFmt w:val="bullet"/>
      <w:lvlText w:val="-"/>
      <w:lvlJc w:val="left"/>
      <w:pPr>
        <w:ind w:left="720" w:hanging="360"/>
      </w:pPr>
      <w:rPr>
        <w:rFonts w:ascii="Calibri" w:eastAsia="PMingLiU" w:hAnsi="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0">
    <w:nsid w:val="4E8D3E75"/>
    <w:multiLevelType w:val="hybridMultilevel"/>
    <w:tmpl w:val="E360A0B6"/>
    <w:lvl w:ilvl="0" w:tplc="660A2B92">
      <w:numFmt w:val="bullet"/>
      <w:lvlText w:val="-"/>
      <w:lvlJc w:val="left"/>
      <w:pPr>
        <w:ind w:left="720" w:hanging="360"/>
      </w:pPr>
      <w:rPr>
        <w:rFonts w:ascii="Calibri" w:eastAsia="PMingLiU" w:hAnsi="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1">
    <w:nsid w:val="639929E8"/>
    <w:multiLevelType w:val="hybridMultilevel"/>
    <w:tmpl w:val="EB62B666"/>
    <w:lvl w:ilvl="0" w:tplc="BC0EFD84">
      <w:start w:val="1"/>
      <w:numFmt w:val="decimal"/>
      <w:pStyle w:val="Tabla"/>
      <w:lvlText w:val="Tabla %1."/>
      <w:lvlJc w:val="center"/>
      <w:pPr>
        <w:ind w:left="1287" w:hanging="360"/>
      </w:pPr>
      <w:rPr>
        <w:rFonts w:hint="default"/>
        <w:b w:val="0"/>
        <w:bCs w:val="0"/>
        <w:i w:val="0"/>
        <w:iCs w:val="0"/>
      </w:rPr>
    </w:lvl>
    <w:lvl w:ilvl="1" w:tplc="0C0A0019">
      <w:start w:val="1"/>
      <w:numFmt w:val="lowerLetter"/>
      <w:lvlText w:val="%2."/>
      <w:lvlJc w:val="left"/>
      <w:pPr>
        <w:ind w:left="2007" w:hanging="360"/>
      </w:pPr>
    </w:lvl>
    <w:lvl w:ilvl="2" w:tplc="0C0A001B">
      <w:start w:val="1"/>
      <w:numFmt w:val="lowerRoman"/>
      <w:lvlText w:val="%3."/>
      <w:lvlJc w:val="right"/>
      <w:pPr>
        <w:ind w:left="2727" w:hanging="180"/>
      </w:pPr>
    </w:lvl>
    <w:lvl w:ilvl="3" w:tplc="0C0A000F">
      <w:start w:val="1"/>
      <w:numFmt w:val="decimal"/>
      <w:lvlText w:val="%4."/>
      <w:lvlJc w:val="left"/>
      <w:pPr>
        <w:ind w:left="3447" w:hanging="360"/>
      </w:pPr>
    </w:lvl>
    <w:lvl w:ilvl="4" w:tplc="0C0A0019">
      <w:start w:val="1"/>
      <w:numFmt w:val="lowerLetter"/>
      <w:lvlText w:val="%5."/>
      <w:lvlJc w:val="left"/>
      <w:pPr>
        <w:ind w:left="4167" w:hanging="360"/>
      </w:pPr>
    </w:lvl>
    <w:lvl w:ilvl="5" w:tplc="0C0A001B">
      <w:start w:val="1"/>
      <w:numFmt w:val="lowerRoman"/>
      <w:lvlText w:val="%6."/>
      <w:lvlJc w:val="right"/>
      <w:pPr>
        <w:ind w:left="4887" w:hanging="180"/>
      </w:pPr>
    </w:lvl>
    <w:lvl w:ilvl="6" w:tplc="0C0A000F">
      <w:start w:val="1"/>
      <w:numFmt w:val="decimal"/>
      <w:lvlText w:val="%7."/>
      <w:lvlJc w:val="left"/>
      <w:pPr>
        <w:ind w:left="5607" w:hanging="360"/>
      </w:pPr>
    </w:lvl>
    <w:lvl w:ilvl="7" w:tplc="0C0A0019">
      <w:start w:val="1"/>
      <w:numFmt w:val="lowerLetter"/>
      <w:lvlText w:val="%8."/>
      <w:lvlJc w:val="left"/>
      <w:pPr>
        <w:ind w:left="6327" w:hanging="360"/>
      </w:pPr>
    </w:lvl>
    <w:lvl w:ilvl="8" w:tplc="0C0A001B">
      <w:start w:val="1"/>
      <w:numFmt w:val="lowerRoman"/>
      <w:lvlText w:val="%9."/>
      <w:lvlJc w:val="right"/>
      <w:pPr>
        <w:ind w:left="7047" w:hanging="180"/>
      </w:pPr>
    </w:lvl>
  </w:abstractNum>
  <w:abstractNum w:abstractNumId="12">
    <w:nsid w:val="643766F8"/>
    <w:multiLevelType w:val="hybridMultilevel"/>
    <w:tmpl w:val="4B9E5F28"/>
    <w:lvl w:ilvl="0" w:tplc="0924EBCE">
      <w:start w:val="1"/>
      <w:numFmt w:val="decimal"/>
      <w:pStyle w:val="Figuras"/>
      <w:lvlText w:val="Figura %1."/>
      <w:lvlJc w:val="center"/>
      <w:pPr>
        <w:ind w:left="720" w:hanging="360"/>
      </w:pPr>
      <w:rPr>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3">
    <w:nsid w:val="65A06F64"/>
    <w:multiLevelType w:val="multilevel"/>
    <w:tmpl w:val="44863452"/>
    <w:lvl w:ilvl="0">
      <w:start w:val="1"/>
      <w:numFmt w:val="decimal"/>
      <w:pStyle w:val="CERCEDILLA1"/>
      <w:lvlText w:val="%1."/>
      <w:lvlJc w:val="left"/>
      <w:pPr>
        <w:ind w:left="360" w:hanging="360"/>
      </w:pPr>
      <w:rPr>
        <w:rFonts w:ascii="Arial" w:hAnsi="Arial" w:cs="Arial" w:hint="default"/>
        <w:b/>
        <w:bCs/>
        <w:i w:val="0"/>
        <w:iCs w:val="0"/>
        <w:color w:val="323232"/>
        <w:sz w:val="22"/>
        <w:szCs w:val="22"/>
      </w:rPr>
    </w:lvl>
    <w:lvl w:ilvl="1">
      <w:start w:val="1"/>
      <w:numFmt w:val="decimal"/>
      <w:pStyle w:val="CERCEDILLA2"/>
      <w:lvlText w:val="%1.%2."/>
      <w:lvlJc w:val="left"/>
      <w:pPr>
        <w:ind w:left="792" w:hanging="432"/>
      </w:pPr>
    </w:lvl>
    <w:lvl w:ilvl="2">
      <w:start w:val="1"/>
      <w:numFmt w:val="decimal"/>
      <w:pStyle w:val="CERCEDILLA3"/>
      <w:lvlText w:val="%1.%2.%3."/>
      <w:lvlJc w:val="left"/>
      <w:pPr>
        <w:ind w:left="1224" w:hanging="504"/>
      </w:pPr>
    </w:lvl>
    <w:lvl w:ilvl="3">
      <w:start w:val="1"/>
      <w:numFmt w:val="decimal"/>
      <w:pStyle w:val="CERCEDILLA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6CC22A90"/>
    <w:multiLevelType w:val="hybridMultilevel"/>
    <w:tmpl w:val="172C42F6"/>
    <w:lvl w:ilvl="0" w:tplc="0C0A0001">
      <w:start w:val="1"/>
      <w:numFmt w:val="bullet"/>
      <w:pStyle w:val="Ttuloguion1"/>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5">
    <w:nsid w:val="6DB16F59"/>
    <w:multiLevelType w:val="hybridMultilevel"/>
    <w:tmpl w:val="F8F8C512"/>
    <w:lvl w:ilvl="0" w:tplc="0C0A0001">
      <w:start w:val="1"/>
      <w:numFmt w:val="bullet"/>
      <w:lvlText w:val=""/>
      <w:lvlJc w:val="left"/>
      <w:pPr>
        <w:ind w:left="720" w:hanging="360"/>
      </w:pPr>
      <w:rPr>
        <w:rFonts w:ascii="Symbol" w:hAnsi="Symbol" w:cs="Symbol" w:hint="default"/>
      </w:rPr>
    </w:lvl>
    <w:lvl w:ilvl="1" w:tplc="660A2B92">
      <w:numFmt w:val="bullet"/>
      <w:lvlText w:val="-"/>
      <w:lvlJc w:val="left"/>
      <w:pPr>
        <w:ind w:left="1440" w:hanging="360"/>
      </w:pPr>
      <w:rPr>
        <w:rFonts w:ascii="Calibri" w:eastAsia="PMingLiU" w:hAnsi="Calibri"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16">
    <w:nsid w:val="78814047"/>
    <w:multiLevelType w:val="hybridMultilevel"/>
    <w:tmpl w:val="4D2C0ADA"/>
    <w:lvl w:ilvl="0" w:tplc="17FC94C8">
      <w:numFmt w:val="bullet"/>
      <w:lvlText w:val="-"/>
      <w:lvlJc w:val="left"/>
      <w:pPr>
        <w:ind w:left="720" w:hanging="360"/>
      </w:pPr>
      <w:rPr>
        <w:rFonts w:ascii="Calibri" w:eastAsia="PMingLiU" w:hAnsi="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num w:numId="1">
    <w:abstractNumId w:val="14"/>
  </w:num>
  <w:num w:numId="2">
    <w:abstractNumId w:val="13"/>
  </w:num>
  <w:num w:numId="3">
    <w:abstractNumId w:val="1"/>
  </w:num>
  <w:num w:numId="4">
    <w:abstractNumId w:val="4"/>
  </w:num>
  <w:num w:numId="5">
    <w:abstractNumId w:val="0"/>
  </w:num>
  <w:num w:numId="6">
    <w:abstractNumId w:val="11"/>
  </w:num>
  <w:num w:numId="7">
    <w:abstractNumId w:val="12"/>
  </w:num>
  <w:num w:numId="8">
    <w:abstractNumId w:val="6"/>
  </w:num>
  <w:num w:numId="9">
    <w:abstractNumId w:val="7"/>
  </w:num>
  <w:num w:numId="10">
    <w:abstractNumId w:val="2"/>
  </w:num>
  <w:num w:numId="11">
    <w:abstractNumId w:val="15"/>
  </w:num>
  <w:num w:numId="12">
    <w:abstractNumId w:val="3"/>
  </w:num>
  <w:num w:numId="13">
    <w:abstractNumId w:val="10"/>
  </w:num>
  <w:num w:numId="14">
    <w:abstractNumId w:val="9"/>
  </w:num>
  <w:num w:numId="15">
    <w:abstractNumId w:val="16"/>
  </w:num>
  <w:num w:numId="16">
    <w:abstractNumId w:val="8"/>
  </w:num>
  <w:num w:numId="17">
    <w:abstractNumId w:val="5"/>
  </w:num>
  <w:num w:numId="18">
    <w:abstractNumId w:val="12"/>
    <w:lvlOverride w:ilvl="0">
      <w:startOverride w:val="1"/>
    </w:lvlOverride>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2"/>
  <w:embedSystemFonts/>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57"/>
    <o:shapelayout v:ext="edit">
      <o:idmap v:ext="edit" data="2"/>
    </o:shapelayout>
  </w:hdrShapeDefaults>
  <w:footnotePr>
    <w:footnote w:id="0"/>
    <w:footnote w:id="1"/>
  </w:footnotePr>
  <w:endnotePr>
    <w:endnote w:id="0"/>
    <w:endnote w:id="1"/>
  </w:endnotePr>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F0403"/>
    <w:rsid w:val="000011C1"/>
    <w:rsid w:val="00004028"/>
    <w:rsid w:val="0000429A"/>
    <w:rsid w:val="00005248"/>
    <w:rsid w:val="00005C92"/>
    <w:rsid w:val="0000757E"/>
    <w:rsid w:val="000104AD"/>
    <w:rsid w:val="000114E2"/>
    <w:rsid w:val="00011DB8"/>
    <w:rsid w:val="000125CF"/>
    <w:rsid w:val="000150FD"/>
    <w:rsid w:val="000155D2"/>
    <w:rsid w:val="000171EC"/>
    <w:rsid w:val="00017600"/>
    <w:rsid w:val="0002221B"/>
    <w:rsid w:val="000226FB"/>
    <w:rsid w:val="0002275C"/>
    <w:rsid w:val="00023650"/>
    <w:rsid w:val="0002405A"/>
    <w:rsid w:val="00024C91"/>
    <w:rsid w:val="00025CBC"/>
    <w:rsid w:val="00026E88"/>
    <w:rsid w:val="00026FC6"/>
    <w:rsid w:val="00027150"/>
    <w:rsid w:val="000271FE"/>
    <w:rsid w:val="00027707"/>
    <w:rsid w:val="000279C4"/>
    <w:rsid w:val="000304D1"/>
    <w:rsid w:val="0003103C"/>
    <w:rsid w:val="00031BF3"/>
    <w:rsid w:val="000332BA"/>
    <w:rsid w:val="00033449"/>
    <w:rsid w:val="00033497"/>
    <w:rsid w:val="0003435A"/>
    <w:rsid w:val="0003748D"/>
    <w:rsid w:val="00037A2E"/>
    <w:rsid w:val="00041D0A"/>
    <w:rsid w:val="000421BB"/>
    <w:rsid w:val="00044267"/>
    <w:rsid w:val="000444BF"/>
    <w:rsid w:val="000471A2"/>
    <w:rsid w:val="00047B44"/>
    <w:rsid w:val="0005021C"/>
    <w:rsid w:val="000515F2"/>
    <w:rsid w:val="000518A1"/>
    <w:rsid w:val="000518D4"/>
    <w:rsid w:val="00052668"/>
    <w:rsid w:val="0005520E"/>
    <w:rsid w:val="00055E79"/>
    <w:rsid w:val="00056AA2"/>
    <w:rsid w:val="00057750"/>
    <w:rsid w:val="00060E57"/>
    <w:rsid w:val="00062DFF"/>
    <w:rsid w:val="00065126"/>
    <w:rsid w:val="00067351"/>
    <w:rsid w:val="000679E9"/>
    <w:rsid w:val="00067E93"/>
    <w:rsid w:val="00071E86"/>
    <w:rsid w:val="00072138"/>
    <w:rsid w:val="00075802"/>
    <w:rsid w:val="00076BE6"/>
    <w:rsid w:val="00080A99"/>
    <w:rsid w:val="00084A6F"/>
    <w:rsid w:val="00084FC5"/>
    <w:rsid w:val="000875C6"/>
    <w:rsid w:val="0008799A"/>
    <w:rsid w:val="000905CC"/>
    <w:rsid w:val="000905DC"/>
    <w:rsid w:val="00091465"/>
    <w:rsid w:val="0009174A"/>
    <w:rsid w:val="00093AF8"/>
    <w:rsid w:val="00094B3F"/>
    <w:rsid w:val="00096845"/>
    <w:rsid w:val="0009711A"/>
    <w:rsid w:val="000979E8"/>
    <w:rsid w:val="00097F4D"/>
    <w:rsid w:val="000A1910"/>
    <w:rsid w:val="000A448E"/>
    <w:rsid w:val="000A4B3E"/>
    <w:rsid w:val="000B0774"/>
    <w:rsid w:val="000B403D"/>
    <w:rsid w:val="000B43EA"/>
    <w:rsid w:val="000B6052"/>
    <w:rsid w:val="000B65B5"/>
    <w:rsid w:val="000B6881"/>
    <w:rsid w:val="000B7608"/>
    <w:rsid w:val="000B77D0"/>
    <w:rsid w:val="000B7932"/>
    <w:rsid w:val="000C08A0"/>
    <w:rsid w:val="000C1222"/>
    <w:rsid w:val="000C1F46"/>
    <w:rsid w:val="000C4C31"/>
    <w:rsid w:val="000C4CD4"/>
    <w:rsid w:val="000C5683"/>
    <w:rsid w:val="000C6596"/>
    <w:rsid w:val="000C71C1"/>
    <w:rsid w:val="000D19A4"/>
    <w:rsid w:val="000D33F5"/>
    <w:rsid w:val="000D42C7"/>
    <w:rsid w:val="000D484F"/>
    <w:rsid w:val="000D4DA1"/>
    <w:rsid w:val="000D596B"/>
    <w:rsid w:val="000D68F6"/>
    <w:rsid w:val="000D778B"/>
    <w:rsid w:val="000D7A6A"/>
    <w:rsid w:val="000E094E"/>
    <w:rsid w:val="000E3C1A"/>
    <w:rsid w:val="000E59D7"/>
    <w:rsid w:val="000E6A51"/>
    <w:rsid w:val="000E7435"/>
    <w:rsid w:val="000E77DE"/>
    <w:rsid w:val="000F0718"/>
    <w:rsid w:val="000F0FE3"/>
    <w:rsid w:val="000F1068"/>
    <w:rsid w:val="000F19E8"/>
    <w:rsid w:val="000F73B4"/>
    <w:rsid w:val="000F7569"/>
    <w:rsid w:val="00102718"/>
    <w:rsid w:val="001053E2"/>
    <w:rsid w:val="00107914"/>
    <w:rsid w:val="00107A78"/>
    <w:rsid w:val="001116D9"/>
    <w:rsid w:val="00112042"/>
    <w:rsid w:val="00113C72"/>
    <w:rsid w:val="0011533D"/>
    <w:rsid w:val="001159E4"/>
    <w:rsid w:val="00116202"/>
    <w:rsid w:val="00116BFD"/>
    <w:rsid w:val="0012065A"/>
    <w:rsid w:val="001208FF"/>
    <w:rsid w:val="001216C8"/>
    <w:rsid w:val="00125010"/>
    <w:rsid w:val="00125F25"/>
    <w:rsid w:val="001265B4"/>
    <w:rsid w:val="00126DE3"/>
    <w:rsid w:val="00131201"/>
    <w:rsid w:val="00133E02"/>
    <w:rsid w:val="001347FE"/>
    <w:rsid w:val="00135F94"/>
    <w:rsid w:val="00135FDB"/>
    <w:rsid w:val="00136033"/>
    <w:rsid w:val="001362AF"/>
    <w:rsid w:val="00143372"/>
    <w:rsid w:val="00143689"/>
    <w:rsid w:val="001440AF"/>
    <w:rsid w:val="00146B04"/>
    <w:rsid w:val="00151089"/>
    <w:rsid w:val="001512A1"/>
    <w:rsid w:val="0015149A"/>
    <w:rsid w:val="00151B45"/>
    <w:rsid w:val="001550A9"/>
    <w:rsid w:val="0015540D"/>
    <w:rsid w:val="0015654E"/>
    <w:rsid w:val="00156CB0"/>
    <w:rsid w:val="00160A12"/>
    <w:rsid w:val="001617FF"/>
    <w:rsid w:val="00161806"/>
    <w:rsid w:val="001620DB"/>
    <w:rsid w:val="00162CD0"/>
    <w:rsid w:val="00164073"/>
    <w:rsid w:val="00164396"/>
    <w:rsid w:val="001655BD"/>
    <w:rsid w:val="00166E5A"/>
    <w:rsid w:val="001702F0"/>
    <w:rsid w:val="00170D29"/>
    <w:rsid w:val="00171E73"/>
    <w:rsid w:val="00173B9E"/>
    <w:rsid w:val="00174A6F"/>
    <w:rsid w:val="00174B27"/>
    <w:rsid w:val="0017546B"/>
    <w:rsid w:val="0017599E"/>
    <w:rsid w:val="001766CE"/>
    <w:rsid w:val="00180782"/>
    <w:rsid w:val="00180FCC"/>
    <w:rsid w:val="0018169E"/>
    <w:rsid w:val="0018396F"/>
    <w:rsid w:val="00185535"/>
    <w:rsid w:val="00185C71"/>
    <w:rsid w:val="0018624F"/>
    <w:rsid w:val="00186AA9"/>
    <w:rsid w:val="001875BE"/>
    <w:rsid w:val="00187D2D"/>
    <w:rsid w:val="00190503"/>
    <w:rsid w:val="00190A54"/>
    <w:rsid w:val="00191B78"/>
    <w:rsid w:val="001927E3"/>
    <w:rsid w:val="00192A85"/>
    <w:rsid w:val="00192AF3"/>
    <w:rsid w:val="001932DB"/>
    <w:rsid w:val="00193391"/>
    <w:rsid w:val="001942EB"/>
    <w:rsid w:val="00195A0F"/>
    <w:rsid w:val="00195B00"/>
    <w:rsid w:val="00197A1B"/>
    <w:rsid w:val="001A1CF0"/>
    <w:rsid w:val="001A2313"/>
    <w:rsid w:val="001A24F7"/>
    <w:rsid w:val="001A431A"/>
    <w:rsid w:val="001A5FBA"/>
    <w:rsid w:val="001A6BE5"/>
    <w:rsid w:val="001A6C9D"/>
    <w:rsid w:val="001B3184"/>
    <w:rsid w:val="001B35EB"/>
    <w:rsid w:val="001B3830"/>
    <w:rsid w:val="001B5D48"/>
    <w:rsid w:val="001B73B6"/>
    <w:rsid w:val="001B777B"/>
    <w:rsid w:val="001C26AC"/>
    <w:rsid w:val="001C2746"/>
    <w:rsid w:val="001C2E61"/>
    <w:rsid w:val="001C32CE"/>
    <w:rsid w:val="001C5620"/>
    <w:rsid w:val="001C59FB"/>
    <w:rsid w:val="001D0CD1"/>
    <w:rsid w:val="001D1DFB"/>
    <w:rsid w:val="001D3CED"/>
    <w:rsid w:val="001D5EE1"/>
    <w:rsid w:val="001D6079"/>
    <w:rsid w:val="001D608A"/>
    <w:rsid w:val="001D62AB"/>
    <w:rsid w:val="001D66CF"/>
    <w:rsid w:val="001D6FAC"/>
    <w:rsid w:val="001D783C"/>
    <w:rsid w:val="001D7B53"/>
    <w:rsid w:val="001E039B"/>
    <w:rsid w:val="001E21C8"/>
    <w:rsid w:val="001E358B"/>
    <w:rsid w:val="001E3612"/>
    <w:rsid w:val="001E53C1"/>
    <w:rsid w:val="001E714C"/>
    <w:rsid w:val="001E796C"/>
    <w:rsid w:val="001E79F0"/>
    <w:rsid w:val="001F0EF6"/>
    <w:rsid w:val="001F5A2D"/>
    <w:rsid w:val="001F6237"/>
    <w:rsid w:val="001F68FE"/>
    <w:rsid w:val="001F776E"/>
    <w:rsid w:val="001F798F"/>
    <w:rsid w:val="001F7D84"/>
    <w:rsid w:val="002002D6"/>
    <w:rsid w:val="002002E0"/>
    <w:rsid w:val="002019E2"/>
    <w:rsid w:val="0020235D"/>
    <w:rsid w:val="002029C6"/>
    <w:rsid w:val="0020393C"/>
    <w:rsid w:val="00205358"/>
    <w:rsid w:val="00205E91"/>
    <w:rsid w:val="00210293"/>
    <w:rsid w:val="00210BF3"/>
    <w:rsid w:val="0021249A"/>
    <w:rsid w:val="0021313D"/>
    <w:rsid w:val="00214996"/>
    <w:rsid w:val="00214EFB"/>
    <w:rsid w:val="00215224"/>
    <w:rsid w:val="002159C2"/>
    <w:rsid w:val="002206D8"/>
    <w:rsid w:val="0022240C"/>
    <w:rsid w:val="00222CBA"/>
    <w:rsid w:val="00222CDE"/>
    <w:rsid w:val="002235E4"/>
    <w:rsid w:val="00225BE7"/>
    <w:rsid w:val="0022712B"/>
    <w:rsid w:val="002273AA"/>
    <w:rsid w:val="00227A3C"/>
    <w:rsid w:val="00230D00"/>
    <w:rsid w:val="002326B9"/>
    <w:rsid w:val="00232D49"/>
    <w:rsid w:val="00233AC1"/>
    <w:rsid w:val="002348B3"/>
    <w:rsid w:val="00235D4A"/>
    <w:rsid w:val="00241956"/>
    <w:rsid w:val="00242072"/>
    <w:rsid w:val="00245062"/>
    <w:rsid w:val="00247209"/>
    <w:rsid w:val="00250675"/>
    <w:rsid w:val="0025075F"/>
    <w:rsid w:val="002512E8"/>
    <w:rsid w:val="00251C58"/>
    <w:rsid w:val="0025213D"/>
    <w:rsid w:val="00255C74"/>
    <w:rsid w:val="00256000"/>
    <w:rsid w:val="00257536"/>
    <w:rsid w:val="00257D89"/>
    <w:rsid w:val="002617D8"/>
    <w:rsid w:val="00261E2E"/>
    <w:rsid w:val="00261E54"/>
    <w:rsid w:val="00262219"/>
    <w:rsid w:val="00262846"/>
    <w:rsid w:val="00263F44"/>
    <w:rsid w:val="002644F5"/>
    <w:rsid w:val="00266124"/>
    <w:rsid w:val="002674B5"/>
    <w:rsid w:val="00270C37"/>
    <w:rsid w:val="00270CB2"/>
    <w:rsid w:val="002716F9"/>
    <w:rsid w:val="00273D7E"/>
    <w:rsid w:val="0027542B"/>
    <w:rsid w:val="002767AF"/>
    <w:rsid w:val="00277901"/>
    <w:rsid w:val="00277CA1"/>
    <w:rsid w:val="00280571"/>
    <w:rsid w:val="00281020"/>
    <w:rsid w:val="00281E85"/>
    <w:rsid w:val="002822E4"/>
    <w:rsid w:val="00282F25"/>
    <w:rsid w:val="002847E5"/>
    <w:rsid w:val="002862FA"/>
    <w:rsid w:val="00286AA5"/>
    <w:rsid w:val="0028788A"/>
    <w:rsid w:val="00291165"/>
    <w:rsid w:val="00293A43"/>
    <w:rsid w:val="002941BB"/>
    <w:rsid w:val="00294EE5"/>
    <w:rsid w:val="0029511F"/>
    <w:rsid w:val="00295866"/>
    <w:rsid w:val="0029643F"/>
    <w:rsid w:val="002964D7"/>
    <w:rsid w:val="002A01FE"/>
    <w:rsid w:val="002A054E"/>
    <w:rsid w:val="002A09F1"/>
    <w:rsid w:val="002A27E7"/>
    <w:rsid w:val="002A3A70"/>
    <w:rsid w:val="002A3AE6"/>
    <w:rsid w:val="002A58F6"/>
    <w:rsid w:val="002B0CB8"/>
    <w:rsid w:val="002B1E08"/>
    <w:rsid w:val="002B24CC"/>
    <w:rsid w:val="002B3447"/>
    <w:rsid w:val="002B50E2"/>
    <w:rsid w:val="002B784F"/>
    <w:rsid w:val="002C1D64"/>
    <w:rsid w:val="002C5374"/>
    <w:rsid w:val="002C62CC"/>
    <w:rsid w:val="002C6B08"/>
    <w:rsid w:val="002C71D7"/>
    <w:rsid w:val="002C740E"/>
    <w:rsid w:val="002C7E11"/>
    <w:rsid w:val="002D01FB"/>
    <w:rsid w:val="002D1471"/>
    <w:rsid w:val="002D2BBD"/>
    <w:rsid w:val="002D313B"/>
    <w:rsid w:val="002D6613"/>
    <w:rsid w:val="002E164A"/>
    <w:rsid w:val="002E2893"/>
    <w:rsid w:val="002E4020"/>
    <w:rsid w:val="002E4175"/>
    <w:rsid w:val="002E4829"/>
    <w:rsid w:val="002E6A8C"/>
    <w:rsid w:val="002F21D2"/>
    <w:rsid w:val="002F4E1B"/>
    <w:rsid w:val="002F547A"/>
    <w:rsid w:val="002F59C2"/>
    <w:rsid w:val="002F7DB0"/>
    <w:rsid w:val="0030164C"/>
    <w:rsid w:val="00301981"/>
    <w:rsid w:val="0030226B"/>
    <w:rsid w:val="00302983"/>
    <w:rsid w:val="00302A42"/>
    <w:rsid w:val="00302C13"/>
    <w:rsid w:val="003035D5"/>
    <w:rsid w:val="0030503E"/>
    <w:rsid w:val="00306EA5"/>
    <w:rsid w:val="00310482"/>
    <w:rsid w:val="00310BAA"/>
    <w:rsid w:val="003115B6"/>
    <w:rsid w:val="00311764"/>
    <w:rsid w:val="00311AC2"/>
    <w:rsid w:val="00311D7A"/>
    <w:rsid w:val="0031260A"/>
    <w:rsid w:val="00312B52"/>
    <w:rsid w:val="0031451A"/>
    <w:rsid w:val="00315899"/>
    <w:rsid w:val="00315A9D"/>
    <w:rsid w:val="00315CDF"/>
    <w:rsid w:val="0031644E"/>
    <w:rsid w:val="003170A9"/>
    <w:rsid w:val="00320D08"/>
    <w:rsid w:val="0032314C"/>
    <w:rsid w:val="0032369C"/>
    <w:rsid w:val="00323A71"/>
    <w:rsid w:val="00325B3C"/>
    <w:rsid w:val="0032792A"/>
    <w:rsid w:val="003311A8"/>
    <w:rsid w:val="003313D0"/>
    <w:rsid w:val="003321C5"/>
    <w:rsid w:val="0033325C"/>
    <w:rsid w:val="00335920"/>
    <w:rsid w:val="00337B7E"/>
    <w:rsid w:val="00340353"/>
    <w:rsid w:val="00340807"/>
    <w:rsid w:val="0034117E"/>
    <w:rsid w:val="003416E7"/>
    <w:rsid w:val="00341D37"/>
    <w:rsid w:val="00342468"/>
    <w:rsid w:val="00342DC5"/>
    <w:rsid w:val="00343A6B"/>
    <w:rsid w:val="0034430C"/>
    <w:rsid w:val="00350C14"/>
    <w:rsid w:val="0035132C"/>
    <w:rsid w:val="00352EBA"/>
    <w:rsid w:val="00353D04"/>
    <w:rsid w:val="003550C0"/>
    <w:rsid w:val="003562B9"/>
    <w:rsid w:val="00356A18"/>
    <w:rsid w:val="003577BC"/>
    <w:rsid w:val="00360324"/>
    <w:rsid w:val="00362750"/>
    <w:rsid w:val="003634A0"/>
    <w:rsid w:val="00363981"/>
    <w:rsid w:val="00363AA7"/>
    <w:rsid w:val="00364128"/>
    <w:rsid w:val="00364D9A"/>
    <w:rsid w:val="00365519"/>
    <w:rsid w:val="00366078"/>
    <w:rsid w:val="003670A2"/>
    <w:rsid w:val="0036783C"/>
    <w:rsid w:val="00370678"/>
    <w:rsid w:val="00371584"/>
    <w:rsid w:val="0037158F"/>
    <w:rsid w:val="0037288B"/>
    <w:rsid w:val="00374262"/>
    <w:rsid w:val="00374CEC"/>
    <w:rsid w:val="003759B5"/>
    <w:rsid w:val="00375A1B"/>
    <w:rsid w:val="00376098"/>
    <w:rsid w:val="0037645A"/>
    <w:rsid w:val="00377C8D"/>
    <w:rsid w:val="00380437"/>
    <w:rsid w:val="00380F6A"/>
    <w:rsid w:val="0038190C"/>
    <w:rsid w:val="00382FA0"/>
    <w:rsid w:val="00385860"/>
    <w:rsid w:val="00385B27"/>
    <w:rsid w:val="0038641D"/>
    <w:rsid w:val="003902CA"/>
    <w:rsid w:val="00390624"/>
    <w:rsid w:val="0039092E"/>
    <w:rsid w:val="00390C4A"/>
    <w:rsid w:val="00392937"/>
    <w:rsid w:val="0039308D"/>
    <w:rsid w:val="00393DF2"/>
    <w:rsid w:val="0039541E"/>
    <w:rsid w:val="00397703"/>
    <w:rsid w:val="00397C4D"/>
    <w:rsid w:val="00397F2B"/>
    <w:rsid w:val="003A0DB3"/>
    <w:rsid w:val="003A12D3"/>
    <w:rsid w:val="003A1C55"/>
    <w:rsid w:val="003A2979"/>
    <w:rsid w:val="003A317F"/>
    <w:rsid w:val="003A3663"/>
    <w:rsid w:val="003A39CA"/>
    <w:rsid w:val="003A3BFF"/>
    <w:rsid w:val="003A427E"/>
    <w:rsid w:val="003A4714"/>
    <w:rsid w:val="003A6294"/>
    <w:rsid w:val="003A62C8"/>
    <w:rsid w:val="003A70BA"/>
    <w:rsid w:val="003A7310"/>
    <w:rsid w:val="003A7D1B"/>
    <w:rsid w:val="003B058F"/>
    <w:rsid w:val="003B1303"/>
    <w:rsid w:val="003B1951"/>
    <w:rsid w:val="003B30C0"/>
    <w:rsid w:val="003B3D79"/>
    <w:rsid w:val="003B56BE"/>
    <w:rsid w:val="003C0CC9"/>
    <w:rsid w:val="003C28C9"/>
    <w:rsid w:val="003C3076"/>
    <w:rsid w:val="003C35B6"/>
    <w:rsid w:val="003C3EC4"/>
    <w:rsid w:val="003C4649"/>
    <w:rsid w:val="003C61CF"/>
    <w:rsid w:val="003C7205"/>
    <w:rsid w:val="003D01D1"/>
    <w:rsid w:val="003D03F7"/>
    <w:rsid w:val="003D064B"/>
    <w:rsid w:val="003D09FA"/>
    <w:rsid w:val="003D400A"/>
    <w:rsid w:val="003D5D74"/>
    <w:rsid w:val="003D6576"/>
    <w:rsid w:val="003D66AD"/>
    <w:rsid w:val="003E0324"/>
    <w:rsid w:val="003E1761"/>
    <w:rsid w:val="003E1F10"/>
    <w:rsid w:val="003E2B68"/>
    <w:rsid w:val="003E37DC"/>
    <w:rsid w:val="003E3BFA"/>
    <w:rsid w:val="003E5015"/>
    <w:rsid w:val="003E5BCB"/>
    <w:rsid w:val="003E5E31"/>
    <w:rsid w:val="003E61B2"/>
    <w:rsid w:val="003E6C36"/>
    <w:rsid w:val="003E7262"/>
    <w:rsid w:val="003E7FF1"/>
    <w:rsid w:val="003F1879"/>
    <w:rsid w:val="003F53CE"/>
    <w:rsid w:val="003F6F09"/>
    <w:rsid w:val="003F7F20"/>
    <w:rsid w:val="0040098E"/>
    <w:rsid w:val="00401059"/>
    <w:rsid w:val="004013CD"/>
    <w:rsid w:val="00402465"/>
    <w:rsid w:val="00402469"/>
    <w:rsid w:val="004032C3"/>
    <w:rsid w:val="00403AD2"/>
    <w:rsid w:val="0040499B"/>
    <w:rsid w:val="004051B8"/>
    <w:rsid w:val="0040561A"/>
    <w:rsid w:val="0040624F"/>
    <w:rsid w:val="004064A9"/>
    <w:rsid w:val="00406862"/>
    <w:rsid w:val="00406C28"/>
    <w:rsid w:val="004149DE"/>
    <w:rsid w:val="004171D0"/>
    <w:rsid w:val="00421145"/>
    <w:rsid w:val="004221F3"/>
    <w:rsid w:val="00425172"/>
    <w:rsid w:val="00425D8D"/>
    <w:rsid w:val="004278AF"/>
    <w:rsid w:val="00430638"/>
    <w:rsid w:val="004306FA"/>
    <w:rsid w:val="004308D8"/>
    <w:rsid w:val="0043146F"/>
    <w:rsid w:val="00431A53"/>
    <w:rsid w:val="0043222E"/>
    <w:rsid w:val="00433BAB"/>
    <w:rsid w:val="00433F22"/>
    <w:rsid w:val="00434CE1"/>
    <w:rsid w:val="004352CC"/>
    <w:rsid w:val="0043681F"/>
    <w:rsid w:val="00436B3A"/>
    <w:rsid w:val="0044096A"/>
    <w:rsid w:val="00440CB9"/>
    <w:rsid w:val="00442654"/>
    <w:rsid w:val="00445A8B"/>
    <w:rsid w:val="00445FD7"/>
    <w:rsid w:val="00446BE0"/>
    <w:rsid w:val="00446D9B"/>
    <w:rsid w:val="00447AE3"/>
    <w:rsid w:val="00451F88"/>
    <w:rsid w:val="004522D9"/>
    <w:rsid w:val="00453049"/>
    <w:rsid w:val="0045499C"/>
    <w:rsid w:val="00457AE6"/>
    <w:rsid w:val="004601A7"/>
    <w:rsid w:val="0046143B"/>
    <w:rsid w:val="00461D8E"/>
    <w:rsid w:val="00463FA8"/>
    <w:rsid w:val="00464709"/>
    <w:rsid w:val="00464CBD"/>
    <w:rsid w:val="004672C6"/>
    <w:rsid w:val="00467610"/>
    <w:rsid w:val="00467A6C"/>
    <w:rsid w:val="00471083"/>
    <w:rsid w:val="00471D27"/>
    <w:rsid w:val="00475287"/>
    <w:rsid w:val="0047579C"/>
    <w:rsid w:val="00476DDC"/>
    <w:rsid w:val="00480A45"/>
    <w:rsid w:val="00482437"/>
    <w:rsid w:val="004839FB"/>
    <w:rsid w:val="00484BA5"/>
    <w:rsid w:val="00485029"/>
    <w:rsid w:val="00486141"/>
    <w:rsid w:val="004875EE"/>
    <w:rsid w:val="004914DB"/>
    <w:rsid w:val="00491710"/>
    <w:rsid w:val="00492DA7"/>
    <w:rsid w:val="00492F0F"/>
    <w:rsid w:val="00493056"/>
    <w:rsid w:val="00493BA4"/>
    <w:rsid w:val="00495BAF"/>
    <w:rsid w:val="004A2F24"/>
    <w:rsid w:val="004A3614"/>
    <w:rsid w:val="004A44CB"/>
    <w:rsid w:val="004A5160"/>
    <w:rsid w:val="004A58BD"/>
    <w:rsid w:val="004A75F9"/>
    <w:rsid w:val="004A763B"/>
    <w:rsid w:val="004B0DD5"/>
    <w:rsid w:val="004B229D"/>
    <w:rsid w:val="004B3FE8"/>
    <w:rsid w:val="004B7600"/>
    <w:rsid w:val="004C0909"/>
    <w:rsid w:val="004C0E87"/>
    <w:rsid w:val="004C15A2"/>
    <w:rsid w:val="004C16B7"/>
    <w:rsid w:val="004C3594"/>
    <w:rsid w:val="004C6228"/>
    <w:rsid w:val="004D01C5"/>
    <w:rsid w:val="004D1846"/>
    <w:rsid w:val="004D1971"/>
    <w:rsid w:val="004D20AF"/>
    <w:rsid w:val="004D2FF3"/>
    <w:rsid w:val="004D336C"/>
    <w:rsid w:val="004D5EA7"/>
    <w:rsid w:val="004D67E5"/>
    <w:rsid w:val="004D7441"/>
    <w:rsid w:val="004D7634"/>
    <w:rsid w:val="004E037D"/>
    <w:rsid w:val="004E20DB"/>
    <w:rsid w:val="004E2BB9"/>
    <w:rsid w:val="004E3DE2"/>
    <w:rsid w:val="004E416D"/>
    <w:rsid w:val="004E4D5D"/>
    <w:rsid w:val="004E52A9"/>
    <w:rsid w:val="004E5A8F"/>
    <w:rsid w:val="004E6220"/>
    <w:rsid w:val="004E6926"/>
    <w:rsid w:val="004E7E2A"/>
    <w:rsid w:val="004E7F36"/>
    <w:rsid w:val="004F0169"/>
    <w:rsid w:val="004F09FD"/>
    <w:rsid w:val="004F35D7"/>
    <w:rsid w:val="004F48DE"/>
    <w:rsid w:val="004F6667"/>
    <w:rsid w:val="00500DBC"/>
    <w:rsid w:val="0050749F"/>
    <w:rsid w:val="005075E0"/>
    <w:rsid w:val="00510A0B"/>
    <w:rsid w:val="00510B80"/>
    <w:rsid w:val="005115EE"/>
    <w:rsid w:val="00512C7F"/>
    <w:rsid w:val="005132C4"/>
    <w:rsid w:val="00515CBE"/>
    <w:rsid w:val="00520DC1"/>
    <w:rsid w:val="00522A15"/>
    <w:rsid w:val="00522F42"/>
    <w:rsid w:val="00526EE2"/>
    <w:rsid w:val="00527357"/>
    <w:rsid w:val="00527F19"/>
    <w:rsid w:val="005307AB"/>
    <w:rsid w:val="0053101D"/>
    <w:rsid w:val="00531FED"/>
    <w:rsid w:val="005322EC"/>
    <w:rsid w:val="005328BF"/>
    <w:rsid w:val="00532B14"/>
    <w:rsid w:val="00532BA1"/>
    <w:rsid w:val="00532E76"/>
    <w:rsid w:val="005359CF"/>
    <w:rsid w:val="00536025"/>
    <w:rsid w:val="0053684B"/>
    <w:rsid w:val="00536E4D"/>
    <w:rsid w:val="005374EB"/>
    <w:rsid w:val="00537EAE"/>
    <w:rsid w:val="0054017A"/>
    <w:rsid w:val="00540495"/>
    <w:rsid w:val="00540879"/>
    <w:rsid w:val="00542052"/>
    <w:rsid w:val="00542646"/>
    <w:rsid w:val="00544AC9"/>
    <w:rsid w:val="00545399"/>
    <w:rsid w:val="00545428"/>
    <w:rsid w:val="00546B6D"/>
    <w:rsid w:val="0055034C"/>
    <w:rsid w:val="005504B6"/>
    <w:rsid w:val="00550557"/>
    <w:rsid w:val="0055096B"/>
    <w:rsid w:val="00550A38"/>
    <w:rsid w:val="005516A2"/>
    <w:rsid w:val="005528E1"/>
    <w:rsid w:val="00554407"/>
    <w:rsid w:val="0055470D"/>
    <w:rsid w:val="00556216"/>
    <w:rsid w:val="00556CE6"/>
    <w:rsid w:val="005574B7"/>
    <w:rsid w:val="005620F4"/>
    <w:rsid w:val="0056329E"/>
    <w:rsid w:val="005633ED"/>
    <w:rsid w:val="005655CB"/>
    <w:rsid w:val="00565CEE"/>
    <w:rsid w:val="0056769E"/>
    <w:rsid w:val="00570963"/>
    <w:rsid w:val="005709BB"/>
    <w:rsid w:val="005709FC"/>
    <w:rsid w:val="00570A71"/>
    <w:rsid w:val="00570C80"/>
    <w:rsid w:val="00570CB5"/>
    <w:rsid w:val="00573916"/>
    <w:rsid w:val="00575A64"/>
    <w:rsid w:val="00576FDD"/>
    <w:rsid w:val="00581E5A"/>
    <w:rsid w:val="00582C88"/>
    <w:rsid w:val="00583173"/>
    <w:rsid w:val="00583296"/>
    <w:rsid w:val="00583FE7"/>
    <w:rsid w:val="00585D88"/>
    <w:rsid w:val="00586E94"/>
    <w:rsid w:val="00590934"/>
    <w:rsid w:val="0059304D"/>
    <w:rsid w:val="00594146"/>
    <w:rsid w:val="00595A4C"/>
    <w:rsid w:val="005969CE"/>
    <w:rsid w:val="00596FFD"/>
    <w:rsid w:val="005A053F"/>
    <w:rsid w:val="005A3071"/>
    <w:rsid w:val="005A507D"/>
    <w:rsid w:val="005A5B6A"/>
    <w:rsid w:val="005A6D36"/>
    <w:rsid w:val="005A770C"/>
    <w:rsid w:val="005A7A37"/>
    <w:rsid w:val="005B1C41"/>
    <w:rsid w:val="005B1E09"/>
    <w:rsid w:val="005B2E42"/>
    <w:rsid w:val="005B332B"/>
    <w:rsid w:val="005B493F"/>
    <w:rsid w:val="005B4F35"/>
    <w:rsid w:val="005B506F"/>
    <w:rsid w:val="005B5F0B"/>
    <w:rsid w:val="005B60B2"/>
    <w:rsid w:val="005B664A"/>
    <w:rsid w:val="005B717C"/>
    <w:rsid w:val="005B7B17"/>
    <w:rsid w:val="005C00FF"/>
    <w:rsid w:val="005C0589"/>
    <w:rsid w:val="005C19F8"/>
    <w:rsid w:val="005C271A"/>
    <w:rsid w:val="005C2C23"/>
    <w:rsid w:val="005C363C"/>
    <w:rsid w:val="005C4A47"/>
    <w:rsid w:val="005C5402"/>
    <w:rsid w:val="005C61BF"/>
    <w:rsid w:val="005C6D1B"/>
    <w:rsid w:val="005C7931"/>
    <w:rsid w:val="005C7E53"/>
    <w:rsid w:val="005D0AE7"/>
    <w:rsid w:val="005D24BD"/>
    <w:rsid w:val="005D4DA5"/>
    <w:rsid w:val="005D4E14"/>
    <w:rsid w:val="005D5894"/>
    <w:rsid w:val="005D6514"/>
    <w:rsid w:val="005D6779"/>
    <w:rsid w:val="005E14CF"/>
    <w:rsid w:val="005E3464"/>
    <w:rsid w:val="005E3925"/>
    <w:rsid w:val="005E3DD6"/>
    <w:rsid w:val="005E5A3F"/>
    <w:rsid w:val="005E616B"/>
    <w:rsid w:val="005E661C"/>
    <w:rsid w:val="005E72DA"/>
    <w:rsid w:val="005E7BCD"/>
    <w:rsid w:val="005F0E84"/>
    <w:rsid w:val="005F0F5C"/>
    <w:rsid w:val="005F109D"/>
    <w:rsid w:val="005F1E3B"/>
    <w:rsid w:val="005F38D1"/>
    <w:rsid w:val="005F3DB1"/>
    <w:rsid w:val="005F48A7"/>
    <w:rsid w:val="005F5760"/>
    <w:rsid w:val="005F6D7B"/>
    <w:rsid w:val="005F710F"/>
    <w:rsid w:val="005F7AA5"/>
    <w:rsid w:val="00600BB5"/>
    <w:rsid w:val="00601886"/>
    <w:rsid w:val="0060196D"/>
    <w:rsid w:val="00602F08"/>
    <w:rsid w:val="006045A1"/>
    <w:rsid w:val="00604CE5"/>
    <w:rsid w:val="00604EFC"/>
    <w:rsid w:val="006069B2"/>
    <w:rsid w:val="00610412"/>
    <w:rsid w:val="00611863"/>
    <w:rsid w:val="00612D27"/>
    <w:rsid w:val="00614307"/>
    <w:rsid w:val="006146E1"/>
    <w:rsid w:val="00616680"/>
    <w:rsid w:val="00616A84"/>
    <w:rsid w:val="00617C15"/>
    <w:rsid w:val="00620A8B"/>
    <w:rsid w:val="00620EB9"/>
    <w:rsid w:val="00622659"/>
    <w:rsid w:val="00622F0F"/>
    <w:rsid w:val="006238E7"/>
    <w:rsid w:val="00623A78"/>
    <w:rsid w:val="00625021"/>
    <w:rsid w:val="00627770"/>
    <w:rsid w:val="00627DD6"/>
    <w:rsid w:val="0063141F"/>
    <w:rsid w:val="00634F77"/>
    <w:rsid w:val="0063649A"/>
    <w:rsid w:val="00645CAD"/>
    <w:rsid w:val="00646269"/>
    <w:rsid w:val="0065308C"/>
    <w:rsid w:val="00653613"/>
    <w:rsid w:val="006536B3"/>
    <w:rsid w:val="006545CE"/>
    <w:rsid w:val="0065558B"/>
    <w:rsid w:val="00655752"/>
    <w:rsid w:val="00655D4E"/>
    <w:rsid w:val="00656497"/>
    <w:rsid w:val="006565A0"/>
    <w:rsid w:val="00656EA5"/>
    <w:rsid w:val="0066111E"/>
    <w:rsid w:val="00662CF9"/>
    <w:rsid w:val="00663BF5"/>
    <w:rsid w:val="00665221"/>
    <w:rsid w:val="006657E9"/>
    <w:rsid w:val="00665893"/>
    <w:rsid w:val="006668F7"/>
    <w:rsid w:val="006709AD"/>
    <w:rsid w:val="006711A5"/>
    <w:rsid w:val="00671A3B"/>
    <w:rsid w:val="006730B3"/>
    <w:rsid w:val="00675B09"/>
    <w:rsid w:val="00676215"/>
    <w:rsid w:val="0067712D"/>
    <w:rsid w:val="00677150"/>
    <w:rsid w:val="00682523"/>
    <w:rsid w:val="0068531D"/>
    <w:rsid w:val="00686096"/>
    <w:rsid w:val="00687FA4"/>
    <w:rsid w:val="006902FE"/>
    <w:rsid w:val="006918B0"/>
    <w:rsid w:val="00692E08"/>
    <w:rsid w:val="00693EAF"/>
    <w:rsid w:val="00694926"/>
    <w:rsid w:val="00694BEE"/>
    <w:rsid w:val="00695587"/>
    <w:rsid w:val="00695EA3"/>
    <w:rsid w:val="006A0782"/>
    <w:rsid w:val="006A1573"/>
    <w:rsid w:val="006A1AB2"/>
    <w:rsid w:val="006A2BE9"/>
    <w:rsid w:val="006A4E15"/>
    <w:rsid w:val="006A52C1"/>
    <w:rsid w:val="006A70F1"/>
    <w:rsid w:val="006A7AD3"/>
    <w:rsid w:val="006B1AFD"/>
    <w:rsid w:val="006B4082"/>
    <w:rsid w:val="006B41BD"/>
    <w:rsid w:val="006B7339"/>
    <w:rsid w:val="006B76CF"/>
    <w:rsid w:val="006C1215"/>
    <w:rsid w:val="006C2438"/>
    <w:rsid w:val="006C2DF1"/>
    <w:rsid w:val="006C4769"/>
    <w:rsid w:val="006C6438"/>
    <w:rsid w:val="006C6F90"/>
    <w:rsid w:val="006C7FD5"/>
    <w:rsid w:val="006D3370"/>
    <w:rsid w:val="006D381C"/>
    <w:rsid w:val="006D4244"/>
    <w:rsid w:val="006D479A"/>
    <w:rsid w:val="006D749A"/>
    <w:rsid w:val="006D7F93"/>
    <w:rsid w:val="006E1102"/>
    <w:rsid w:val="006E1823"/>
    <w:rsid w:val="006E21BA"/>
    <w:rsid w:val="006E25B9"/>
    <w:rsid w:val="006E2C71"/>
    <w:rsid w:val="006E4276"/>
    <w:rsid w:val="006F2426"/>
    <w:rsid w:val="006F3050"/>
    <w:rsid w:val="006F36F6"/>
    <w:rsid w:val="006F57BA"/>
    <w:rsid w:val="006F59F7"/>
    <w:rsid w:val="006F5B0B"/>
    <w:rsid w:val="006F6593"/>
    <w:rsid w:val="006F7C2F"/>
    <w:rsid w:val="00704085"/>
    <w:rsid w:val="00705306"/>
    <w:rsid w:val="00705BDC"/>
    <w:rsid w:val="00705CD3"/>
    <w:rsid w:val="00707053"/>
    <w:rsid w:val="0071049D"/>
    <w:rsid w:val="00710B96"/>
    <w:rsid w:val="00711C32"/>
    <w:rsid w:val="00713389"/>
    <w:rsid w:val="00716335"/>
    <w:rsid w:val="007163CC"/>
    <w:rsid w:val="00716AF8"/>
    <w:rsid w:val="00716CBD"/>
    <w:rsid w:val="00717A7E"/>
    <w:rsid w:val="00717FE7"/>
    <w:rsid w:val="007203C7"/>
    <w:rsid w:val="00721364"/>
    <w:rsid w:val="007220F8"/>
    <w:rsid w:val="0072222B"/>
    <w:rsid w:val="0072227D"/>
    <w:rsid w:val="007243C5"/>
    <w:rsid w:val="007246C4"/>
    <w:rsid w:val="00724A21"/>
    <w:rsid w:val="00725B97"/>
    <w:rsid w:val="0072720D"/>
    <w:rsid w:val="00732075"/>
    <w:rsid w:val="00732C6B"/>
    <w:rsid w:val="0073335A"/>
    <w:rsid w:val="00733A36"/>
    <w:rsid w:val="007340E1"/>
    <w:rsid w:val="00734DBC"/>
    <w:rsid w:val="00736E89"/>
    <w:rsid w:val="00737D95"/>
    <w:rsid w:val="00740867"/>
    <w:rsid w:val="00742C59"/>
    <w:rsid w:val="00742FFB"/>
    <w:rsid w:val="00744344"/>
    <w:rsid w:val="007451AE"/>
    <w:rsid w:val="0074690E"/>
    <w:rsid w:val="00746D62"/>
    <w:rsid w:val="0074739A"/>
    <w:rsid w:val="00747434"/>
    <w:rsid w:val="00747A7C"/>
    <w:rsid w:val="00750524"/>
    <w:rsid w:val="0075103D"/>
    <w:rsid w:val="00752B90"/>
    <w:rsid w:val="00753414"/>
    <w:rsid w:val="00754913"/>
    <w:rsid w:val="0076152C"/>
    <w:rsid w:val="007618BA"/>
    <w:rsid w:val="00763385"/>
    <w:rsid w:val="0076494A"/>
    <w:rsid w:val="00764EB9"/>
    <w:rsid w:val="00766320"/>
    <w:rsid w:val="0077116C"/>
    <w:rsid w:val="007715FE"/>
    <w:rsid w:val="00771A07"/>
    <w:rsid w:val="00772325"/>
    <w:rsid w:val="0077343D"/>
    <w:rsid w:val="007735BF"/>
    <w:rsid w:val="00774CDB"/>
    <w:rsid w:val="00775CF8"/>
    <w:rsid w:val="00776A74"/>
    <w:rsid w:val="00776F39"/>
    <w:rsid w:val="007823BB"/>
    <w:rsid w:val="00782CFA"/>
    <w:rsid w:val="00782E11"/>
    <w:rsid w:val="00782E55"/>
    <w:rsid w:val="00782F07"/>
    <w:rsid w:val="00784219"/>
    <w:rsid w:val="00786CC2"/>
    <w:rsid w:val="007879E8"/>
    <w:rsid w:val="007919FF"/>
    <w:rsid w:val="00792C9B"/>
    <w:rsid w:val="00792E96"/>
    <w:rsid w:val="00794259"/>
    <w:rsid w:val="0079477F"/>
    <w:rsid w:val="00795ABD"/>
    <w:rsid w:val="00796365"/>
    <w:rsid w:val="00796B4F"/>
    <w:rsid w:val="007A0A41"/>
    <w:rsid w:val="007A1387"/>
    <w:rsid w:val="007A7BB1"/>
    <w:rsid w:val="007B339E"/>
    <w:rsid w:val="007B36AD"/>
    <w:rsid w:val="007B4A0C"/>
    <w:rsid w:val="007B5062"/>
    <w:rsid w:val="007B51BD"/>
    <w:rsid w:val="007B68D8"/>
    <w:rsid w:val="007B7C08"/>
    <w:rsid w:val="007C2AB4"/>
    <w:rsid w:val="007C36C8"/>
    <w:rsid w:val="007C3D2C"/>
    <w:rsid w:val="007C3E2C"/>
    <w:rsid w:val="007C4D95"/>
    <w:rsid w:val="007C5496"/>
    <w:rsid w:val="007C5BB8"/>
    <w:rsid w:val="007C60B4"/>
    <w:rsid w:val="007C6BAE"/>
    <w:rsid w:val="007C6BF8"/>
    <w:rsid w:val="007C7821"/>
    <w:rsid w:val="007C7871"/>
    <w:rsid w:val="007D2BDE"/>
    <w:rsid w:val="007D358E"/>
    <w:rsid w:val="007D4937"/>
    <w:rsid w:val="007D4995"/>
    <w:rsid w:val="007D5092"/>
    <w:rsid w:val="007D584C"/>
    <w:rsid w:val="007D5ED0"/>
    <w:rsid w:val="007D6023"/>
    <w:rsid w:val="007D7776"/>
    <w:rsid w:val="007D7CA9"/>
    <w:rsid w:val="007E23E7"/>
    <w:rsid w:val="007E2595"/>
    <w:rsid w:val="007E2D14"/>
    <w:rsid w:val="007E5E4E"/>
    <w:rsid w:val="007E5E9F"/>
    <w:rsid w:val="007E7471"/>
    <w:rsid w:val="007E75C6"/>
    <w:rsid w:val="007F01F5"/>
    <w:rsid w:val="007F128F"/>
    <w:rsid w:val="007F1EE5"/>
    <w:rsid w:val="007F1F29"/>
    <w:rsid w:val="007F1FC3"/>
    <w:rsid w:val="007F24C2"/>
    <w:rsid w:val="007F2948"/>
    <w:rsid w:val="007F2F98"/>
    <w:rsid w:val="007F33B8"/>
    <w:rsid w:val="007F3DF2"/>
    <w:rsid w:val="007F449F"/>
    <w:rsid w:val="007F53BB"/>
    <w:rsid w:val="007F5B8F"/>
    <w:rsid w:val="007F6B69"/>
    <w:rsid w:val="007F717B"/>
    <w:rsid w:val="007F73D2"/>
    <w:rsid w:val="007F77C8"/>
    <w:rsid w:val="00801DA1"/>
    <w:rsid w:val="008020BA"/>
    <w:rsid w:val="0081146F"/>
    <w:rsid w:val="008118B4"/>
    <w:rsid w:val="00811C82"/>
    <w:rsid w:val="00811EF0"/>
    <w:rsid w:val="008148AC"/>
    <w:rsid w:val="0081593D"/>
    <w:rsid w:val="008164BC"/>
    <w:rsid w:val="00816E63"/>
    <w:rsid w:val="00822765"/>
    <w:rsid w:val="008227A8"/>
    <w:rsid w:val="0082346A"/>
    <w:rsid w:val="008243CA"/>
    <w:rsid w:val="00824ED3"/>
    <w:rsid w:val="00825A5F"/>
    <w:rsid w:val="00826DF4"/>
    <w:rsid w:val="008308BA"/>
    <w:rsid w:val="00831CD8"/>
    <w:rsid w:val="008321E9"/>
    <w:rsid w:val="008333F5"/>
    <w:rsid w:val="0083569B"/>
    <w:rsid w:val="00835C74"/>
    <w:rsid w:val="008364B4"/>
    <w:rsid w:val="008369F6"/>
    <w:rsid w:val="00836CED"/>
    <w:rsid w:val="00840524"/>
    <w:rsid w:val="008426DD"/>
    <w:rsid w:val="00842E0C"/>
    <w:rsid w:val="008443DF"/>
    <w:rsid w:val="00844A51"/>
    <w:rsid w:val="00845C1C"/>
    <w:rsid w:val="00845E52"/>
    <w:rsid w:val="00846CF6"/>
    <w:rsid w:val="008506BC"/>
    <w:rsid w:val="0085113A"/>
    <w:rsid w:val="008517C7"/>
    <w:rsid w:val="0085296E"/>
    <w:rsid w:val="00854A2A"/>
    <w:rsid w:val="0085700A"/>
    <w:rsid w:val="00857E95"/>
    <w:rsid w:val="0086336C"/>
    <w:rsid w:val="00863585"/>
    <w:rsid w:val="00870D06"/>
    <w:rsid w:val="008712B9"/>
    <w:rsid w:val="00871398"/>
    <w:rsid w:val="008718E9"/>
    <w:rsid w:val="00872137"/>
    <w:rsid w:val="00872AAC"/>
    <w:rsid w:val="00873929"/>
    <w:rsid w:val="00873D1D"/>
    <w:rsid w:val="00874262"/>
    <w:rsid w:val="00874412"/>
    <w:rsid w:val="0087491C"/>
    <w:rsid w:val="008750D7"/>
    <w:rsid w:val="008755AA"/>
    <w:rsid w:val="00875E3D"/>
    <w:rsid w:val="00876AD4"/>
    <w:rsid w:val="0087792D"/>
    <w:rsid w:val="00881942"/>
    <w:rsid w:val="00881E25"/>
    <w:rsid w:val="0088202A"/>
    <w:rsid w:val="008820A4"/>
    <w:rsid w:val="008825D4"/>
    <w:rsid w:val="00882C71"/>
    <w:rsid w:val="008844C9"/>
    <w:rsid w:val="00886005"/>
    <w:rsid w:val="00886C0A"/>
    <w:rsid w:val="00891C18"/>
    <w:rsid w:val="00892B4D"/>
    <w:rsid w:val="00893711"/>
    <w:rsid w:val="0089372C"/>
    <w:rsid w:val="00894669"/>
    <w:rsid w:val="008946BB"/>
    <w:rsid w:val="00894835"/>
    <w:rsid w:val="0089548F"/>
    <w:rsid w:val="008A02AC"/>
    <w:rsid w:val="008A0C20"/>
    <w:rsid w:val="008A25EA"/>
    <w:rsid w:val="008A273B"/>
    <w:rsid w:val="008A3329"/>
    <w:rsid w:val="008A3E9E"/>
    <w:rsid w:val="008A5820"/>
    <w:rsid w:val="008A602A"/>
    <w:rsid w:val="008A643B"/>
    <w:rsid w:val="008A6C9A"/>
    <w:rsid w:val="008A7799"/>
    <w:rsid w:val="008A7CD9"/>
    <w:rsid w:val="008B087D"/>
    <w:rsid w:val="008B1B3F"/>
    <w:rsid w:val="008B234E"/>
    <w:rsid w:val="008B271D"/>
    <w:rsid w:val="008B42A4"/>
    <w:rsid w:val="008B48EC"/>
    <w:rsid w:val="008B5FA9"/>
    <w:rsid w:val="008B7D58"/>
    <w:rsid w:val="008B7F1A"/>
    <w:rsid w:val="008C1DD0"/>
    <w:rsid w:val="008C2E5F"/>
    <w:rsid w:val="008C4807"/>
    <w:rsid w:val="008C61AA"/>
    <w:rsid w:val="008C74C8"/>
    <w:rsid w:val="008C7560"/>
    <w:rsid w:val="008C7B62"/>
    <w:rsid w:val="008D069E"/>
    <w:rsid w:val="008D0B36"/>
    <w:rsid w:val="008D1237"/>
    <w:rsid w:val="008D3BB4"/>
    <w:rsid w:val="008D4B0F"/>
    <w:rsid w:val="008D4D49"/>
    <w:rsid w:val="008D5548"/>
    <w:rsid w:val="008D55C6"/>
    <w:rsid w:val="008D5F8C"/>
    <w:rsid w:val="008E087E"/>
    <w:rsid w:val="008E222D"/>
    <w:rsid w:val="008E3F35"/>
    <w:rsid w:val="008E62E3"/>
    <w:rsid w:val="008E741B"/>
    <w:rsid w:val="008E75FA"/>
    <w:rsid w:val="008F07D5"/>
    <w:rsid w:val="008F251B"/>
    <w:rsid w:val="008F37D5"/>
    <w:rsid w:val="008F4460"/>
    <w:rsid w:val="008F449E"/>
    <w:rsid w:val="008F4906"/>
    <w:rsid w:val="008F5F64"/>
    <w:rsid w:val="008F66C0"/>
    <w:rsid w:val="008F66D9"/>
    <w:rsid w:val="008F6766"/>
    <w:rsid w:val="009003E1"/>
    <w:rsid w:val="00900835"/>
    <w:rsid w:val="00903AD5"/>
    <w:rsid w:val="00904276"/>
    <w:rsid w:val="00904594"/>
    <w:rsid w:val="00904E29"/>
    <w:rsid w:val="009060A8"/>
    <w:rsid w:val="00906333"/>
    <w:rsid w:val="00906673"/>
    <w:rsid w:val="0091014C"/>
    <w:rsid w:val="00910EF4"/>
    <w:rsid w:val="009112D7"/>
    <w:rsid w:val="009119DA"/>
    <w:rsid w:val="0091342C"/>
    <w:rsid w:val="0091380C"/>
    <w:rsid w:val="00914704"/>
    <w:rsid w:val="00916491"/>
    <w:rsid w:val="00917A7C"/>
    <w:rsid w:val="00921760"/>
    <w:rsid w:val="009217B9"/>
    <w:rsid w:val="00922B2F"/>
    <w:rsid w:val="00923306"/>
    <w:rsid w:val="00923C69"/>
    <w:rsid w:val="00924656"/>
    <w:rsid w:val="00925025"/>
    <w:rsid w:val="00925AE6"/>
    <w:rsid w:val="00926B0A"/>
    <w:rsid w:val="009306F0"/>
    <w:rsid w:val="009315FD"/>
    <w:rsid w:val="00932004"/>
    <w:rsid w:val="00933A56"/>
    <w:rsid w:val="00934817"/>
    <w:rsid w:val="009355CE"/>
    <w:rsid w:val="00935FDD"/>
    <w:rsid w:val="00937A14"/>
    <w:rsid w:val="0094002E"/>
    <w:rsid w:val="00940EAA"/>
    <w:rsid w:val="009416F4"/>
    <w:rsid w:val="00941EA2"/>
    <w:rsid w:val="0094239C"/>
    <w:rsid w:val="00942EBE"/>
    <w:rsid w:val="00943D36"/>
    <w:rsid w:val="00944F97"/>
    <w:rsid w:val="00945045"/>
    <w:rsid w:val="00945695"/>
    <w:rsid w:val="00945A8A"/>
    <w:rsid w:val="00945E66"/>
    <w:rsid w:val="00946049"/>
    <w:rsid w:val="00946F72"/>
    <w:rsid w:val="00951596"/>
    <w:rsid w:val="00952791"/>
    <w:rsid w:val="0095432E"/>
    <w:rsid w:val="009566F3"/>
    <w:rsid w:val="00957502"/>
    <w:rsid w:val="00957CE6"/>
    <w:rsid w:val="00960B6A"/>
    <w:rsid w:val="00960EDB"/>
    <w:rsid w:val="00960FD7"/>
    <w:rsid w:val="00961996"/>
    <w:rsid w:val="009620D8"/>
    <w:rsid w:val="00963187"/>
    <w:rsid w:val="00965C65"/>
    <w:rsid w:val="009668D4"/>
    <w:rsid w:val="00966E42"/>
    <w:rsid w:val="00966EB5"/>
    <w:rsid w:val="009670C7"/>
    <w:rsid w:val="009679C5"/>
    <w:rsid w:val="00967B6E"/>
    <w:rsid w:val="00973ED3"/>
    <w:rsid w:val="00974A98"/>
    <w:rsid w:val="00974CD1"/>
    <w:rsid w:val="00976D45"/>
    <w:rsid w:val="009770A8"/>
    <w:rsid w:val="00977A45"/>
    <w:rsid w:val="00980FAE"/>
    <w:rsid w:val="00981740"/>
    <w:rsid w:val="00981EB7"/>
    <w:rsid w:val="0098337F"/>
    <w:rsid w:val="00983E50"/>
    <w:rsid w:val="009840FD"/>
    <w:rsid w:val="00985836"/>
    <w:rsid w:val="00985B8F"/>
    <w:rsid w:val="0098602B"/>
    <w:rsid w:val="009920FD"/>
    <w:rsid w:val="009945AD"/>
    <w:rsid w:val="00995831"/>
    <w:rsid w:val="00995CEE"/>
    <w:rsid w:val="00996617"/>
    <w:rsid w:val="009A05C0"/>
    <w:rsid w:val="009A0821"/>
    <w:rsid w:val="009A215C"/>
    <w:rsid w:val="009A506F"/>
    <w:rsid w:val="009A5136"/>
    <w:rsid w:val="009A5783"/>
    <w:rsid w:val="009A6D47"/>
    <w:rsid w:val="009A7013"/>
    <w:rsid w:val="009A7814"/>
    <w:rsid w:val="009B0312"/>
    <w:rsid w:val="009B0AA1"/>
    <w:rsid w:val="009B0C88"/>
    <w:rsid w:val="009B147E"/>
    <w:rsid w:val="009B238C"/>
    <w:rsid w:val="009B2690"/>
    <w:rsid w:val="009B33B6"/>
    <w:rsid w:val="009B47B2"/>
    <w:rsid w:val="009B6333"/>
    <w:rsid w:val="009C1EE5"/>
    <w:rsid w:val="009C2100"/>
    <w:rsid w:val="009C585D"/>
    <w:rsid w:val="009C69FC"/>
    <w:rsid w:val="009C6E19"/>
    <w:rsid w:val="009D02A1"/>
    <w:rsid w:val="009D0D15"/>
    <w:rsid w:val="009D1CC2"/>
    <w:rsid w:val="009D3653"/>
    <w:rsid w:val="009D39DC"/>
    <w:rsid w:val="009D4000"/>
    <w:rsid w:val="009D460C"/>
    <w:rsid w:val="009D56DE"/>
    <w:rsid w:val="009D5B13"/>
    <w:rsid w:val="009D6966"/>
    <w:rsid w:val="009E1360"/>
    <w:rsid w:val="009E6B5E"/>
    <w:rsid w:val="009E71BB"/>
    <w:rsid w:val="009F0295"/>
    <w:rsid w:val="009F07E1"/>
    <w:rsid w:val="009F10B6"/>
    <w:rsid w:val="009F14A8"/>
    <w:rsid w:val="009F1560"/>
    <w:rsid w:val="009F3A78"/>
    <w:rsid w:val="009F5087"/>
    <w:rsid w:val="009F7667"/>
    <w:rsid w:val="00A013A7"/>
    <w:rsid w:val="00A027E5"/>
    <w:rsid w:val="00A03385"/>
    <w:rsid w:val="00A048AD"/>
    <w:rsid w:val="00A04E5B"/>
    <w:rsid w:val="00A05E04"/>
    <w:rsid w:val="00A060A6"/>
    <w:rsid w:val="00A07E5F"/>
    <w:rsid w:val="00A07E68"/>
    <w:rsid w:val="00A10AAF"/>
    <w:rsid w:val="00A10B33"/>
    <w:rsid w:val="00A112BC"/>
    <w:rsid w:val="00A121C7"/>
    <w:rsid w:val="00A128CF"/>
    <w:rsid w:val="00A12A3E"/>
    <w:rsid w:val="00A12CDA"/>
    <w:rsid w:val="00A13A02"/>
    <w:rsid w:val="00A14FF2"/>
    <w:rsid w:val="00A158C6"/>
    <w:rsid w:val="00A1651C"/>
    <w:rsid w:val="00A17BF5"/>
    <w:rsid w:val="00A20D9D"/>
    <w:rsid w:val="00A20ECF"/>
    <w:rsid w:val="00A22053"/>
    <w:rsid w:val="00A22510"/>
    <w:rsid w:val="00A23DC5"/>
    <w:rsid w:val="00A24131"/>
    <w:rsid w:val="00A252F1"/>
    <w:rsid w:val="00A26439"/>
    <w:rsid w:val="00A266A8"/>
    <w:rsid w:val="00A278A5"/>
    <w:rsid w:val="00A3021F"/>
    <w:rsid w:val="00A3301E"/>
    <w:rsid w:val="00A34D24"/>
    <w:rsid w:val="00A35849"/>
    <w:rsid w:val="00A359F2"/>
    <w:rsid w:val="00A36955"/>
    <w:rsid w:val="00A37252"/>
    <w:rsid w:val="00A42797"/>
    <w:rsid w:val="00A42A30"/>
    <w:rsid w:val="00A43206"/>
    <w:rsid w:val="00A44A13"/>
    <w:rsid w:val="00A44B1B"/>
    <w:rsid w:val="00A45601"/>
    <w:rsid w:val="00A459EB"/>
    <w:rsid w:val="00A45D79"/>
    <w:rsid w:val="00A46D51"/>
    <w:rsid w:val="00A47ED3"/>
    <w:rsid w:val="00A50BED"/>
    <w:rsid w:val="00A52054"/>
    <w:rsid w:val="00A521EA"/>
    <w:rsid w:val="00A52AA0"/>
    <w:rsid w:val="00A5302E"/>
    <w:rsid w:val="00A54B49"/>
    <w:rsid w:val="00A5736D"/>
    <w:rsid w:val="00A606E9"/>
    <w:rsid w:val="00A60701"/>
    <w:rsid w:val="00A625BF"/>
    <w:rsid w:val="00A62DD0"/>
    <w:rsid w:val="00A63386"/>
    <w:rsid w:val="00A7229B"/>
    <w:rsid w:val="00A736A7"/>
    <w:rsid w:val="00A73CA0"/>
    <w:rsid w:val="00A75157"/>
    <w:rsid w:val="00A75A38"/>
    <w:rsid w:val="00A766B1"/>
    <w:rsid w:val="00A76AF5"/>
    <w:rsid w:val="00A7718B"/>
    <w:rsid w:val="00A774B6"/>
    <w:rsid w:val="00A80B8B"/>
    <w:rsid w:val="00A814B3"/>
    <w:rsid w:val="00A821A9"/>
    <w:rsid w:val="00A823CC"/>
    <w:rsid w:val="00A83826"/>
    <w:rsid w:val="00A858BA"/>
    <w:rsid w:val="00A877B3"/>
    <w:rsid w:val="00A878F2"/>
    <w:rsid w:val="00A90118"/>
    <w:rsid w:val="00A9226D"/>
    <w:rsid w:val="00A923CA"/>
    <w:rsid w:val="00A929B9"/>
    <w:rsid w:val="00A950D0"/>
    <w:rsid w:val="00A9518D"/>
    <w:rsid w:val="00A95E21"/>
    <w:rsid w:val="00A9623C"/>
    <w:rsid w:val="00A97AF9"/>
    <w:rsid w:val="00AA02BB"/>
    <w:rsid w:val="00AA1805"/>
    <w:rsid w:val="00AA248A"/>
    <w:rsid w:val="00AA6AF3"/>
    <w:rsid w:val="00AA7107"/>
    <w:rsid w:val="00AA7FBD"/>
    <w:rsid w:val="00AB17AE"/>
    <w:rsid w:val="00AB1F16"/>
    <w:rsid w:val="00AB1F7C"/>
    <w:rsid w:val="00AB307A"/>
    <w:rsid w:val="00AB3B1D"/>
    <w:rsid w:val="00AB3C6B"/>
    <w:rsid w:val="00AB4630"/>
    <w:rsid w:val="00AB678A"/>
    <w:rsid w:val="00AB6935"/>
    <w:rsid w:val="00AC1333"/>
    <w:rsid w:val="00AC181D"/>
    <w:rsid w:val="00AC1CAF"/>
    <w:rsid w:val="00AC29F6"/>
    <w:rsid w:val="00AC3751"/>
    <w:rsid w:val="00AC4CE6"/>
    <w:rsid w:val="00AC58E1"/>
    <w:rsid w:val="00AC5E0B"/>
    <w:rsid w:val="00AC72AA"/>
    <w:rsid w:val="00AD2EE6"/>
    <w:rsid w:val="00AD331F"/>
    <w:rsid w:val="00AD40FD"/>
    <w:rsid w:val="00AD439A"/>
    <w:rsid w:val="00AD51E7"/>
    <w:rsid w:val="00AD702B"/>
    <w:rsid w:val="00AD71A2"/>
    <w:rsid w:val="00AD74C8"/>
    <w:rsid w:val="00AE0303"/>
    <w:rsid w:val="00AE406B"/>
    <w:rsid w:val="00AE4103"/>
    <w:rsid w:val="00AE45E5"/>
    <w:rsid w:val="00AE4A06"/>
    <w:rsid w:val="00AE5288"/>
    <w:rsid w:val="00AE549C"/>
    <w:rsid w:val="00AE6080"/>
    <w:rsid w:val="00AE6FC0"/>
    <w:rsid w:val="00AF0F57"/>
    <w:rsid w:val="00AF33D8"/>
    <w:rsid w:val="00AF3891"/>
    <w:rsid w:val="00AF7302"/>
    <w:rsid w:val="00AF7E72"/>
    <w:rsid w:val="00B000D5"/>
    <w:rsid w:val="00B0088E"/>
    <w:rsid w:val="00B0179A"/>
    <w:rsid w:val="00B03375"/>
    <w:rsid w:val="00B04573"/>
    <w:rsid w:val="00B06B68"/>
    <w:rsid w:val="00B103E5"/>
    <w:rsid w:val="00B10AA9"/>
    <w:rsid w:val="00B11EFC"/>
    <w:rsid w:val="00B1247D"/>
    <w:rsid w:val="00B13672"/>
    <w:rsid w:val="00B16976"/>
    <w:rsid w:val="00B212CA"/>
    <w:rsid w:val="00B22415"/>
    <w:rsid w:val="00B22737"/>
    <w:rsid w:val="00B227AD"/>
    <w:rsid w:val="00B233DF"/>
    <w:rsid w:val="00B245B8"/>
    <w:rsid w:val="00B2620C"/>
    <w:rsid w:val="00B276CA"/>
    <w:rsid w:val="00B27B55"/>
    <w:rsid w:val="00B32490"/>
    <w:rsid w:val="00B32CA6"/>
    <w:rsid w:val="00B33AC6"/>
    <w:rsid w:val="00B3609C"/>
    <w:rsid w:val="00B3721B"/>
    <w:rsid w:val="00B40E06"/>
    <w:rsid w:val="00B43285"/>
    <w:rsid w:val="00B437D1"/>
    <w:rsid w:val="00B43B1D"/>
    <w:rsid w:val="00B444F7"/>
    <w:rsid w:val="00B46FF7"/>
    <w:rsid w:val="00B50161"/>
    <w:rsid w:val="00B506FA"/>
    <w:rsid w:val="00B51B9D"/>
    <w:rsid w:val="00B536BB"/>
    <w:rsid w:val="00B542FA"/>
    <w:rsid w:val="00B54601"/>
    <w:rsid w:val="00B55470"/>
    <w:rsid w:val="00B562F6"/>
    <w:rsid w:val="00B56ADE"/>
    <w:rsid w:val="00B56D11"/>
    <w:rsid w:val="00B57299"/>
    <w:rsid w:val="00B57912"/>
    <w:rsid w:val="00B60106"/>
    <w:rsid w:val="00B60215"/>
    <w:rsid w:val="00B60E51"/>
    <w:rsid w:val="00B61629"/>
    <w:rsid w:val="00B62AF5"/>
    <w:rsid w:val="00B62E84"/>
    <w:rsid w:val="00B6320D"/>
    <w:rsid w:val="00B63C1C"/>
    <w:rsid w:val="00B64713"/>
    <w:rsid w:val="00B656B8"/>
    <w:rsid w:val="00B65B45"/>
    <w:rsid w:val="00B66CD8"/>
    <w:rsid w:val="00B67361"/>
    <w:rsid w:val="00B674FD"/>
    <w:rsid w:val="00B67A82"/>
    <w:rsid w:val="00B712CD"/>
    <w:rsid w:val="00B724A8"/>
    <w:rsid w:val="00B727B9"/>
    <w:rsid w:val="00B73265"/>
    <w:rsid w:val="00B84040"/>
    <w:rsid w:val="00B86E23"/>
    <w:rsid w:val="00B87319"/>
    <w:rsid w:val="00B8798D"/>
    <w:rsid w:val="00B91024"/>
    <w:rsid w:val="00B9119B"/>
    <w:rsid w:val="00B9583E"/>
    <w:rsid w:val="00B95898"/>
    <w:rsid w:val="00B95F29"/>
    <w:rsid w:val="00B96244"/>
    <w:rsid w:val="00B972EC"/>
    <w:rsid w:val="00B97E62"/>
    <w:rsid w:val="00BA156C"/>
    <w:rsid w:val="00BA2D22"/>
    <w:rsid w:val="00BA3D4D"/>
    <w:rsid w:val="00BA46E9"/>
    <w:rsid w:val="00BA499E"/>
    <w:rsid w:val="00BA59E9"/>
    <w:rsid w:val="00BA65E1"/>
    <w:rsid w:val="00BA686B"/>
    <w:rsid w:val="00BA7059"/>
    <w:rsid w:val="00BA7D7B"/>
    <w:rsid w:val="00BB05F7"/>
    <w:rsid w:val="00BB06C8"/>
    <w:rsid w:val="00BB0BCE"/>
    <w:rsid w:val="00BB1E15"/>
    <w:rsid w:val="00BB26A3"/>
    <w:rsid w:val="00BB2A9F"/>
    <w:rsid w:val="00BB2AEF"/>
    <w:rsid w:val="00BB4AC7"/>
    <w:rsid w:val="00BB4F1F"/>
    <w:rsid w:val="00BB586F"/>
    <w:rsid w:val="00BB6491"/>
    <w:rsid w:val="00BB75AD"/>
    <w:rsid w:val="00BB7729"/>
    <w:rsid w:val="00BB7831"/>
    <w:rsid w:val="00BC05FC"/>
    <w:rsid w:val="00BC1D44"/>
    <w:rsid w:val="00BC2C2E"/>
    <w:rsid w:val="00BC3695"/>
    <w:rsid w:val="00BC462B"/>
    <w:rsid w:val="00BD04DA"/>
    <w:rsid w:val="00BD2F58"/>
    <w:rsid w:val="00BD51BE"/>
    <w:rsid w:val="00BD59AE"/>
    <w:rsid w:val="00BD5E6D"/>
    <w:rsid w:val="00BD60C8"/>
    <w:rsid w:val="00BD63A1"/>
    <w:rsid w:val="00BD7353"/>
    <w:rsid w:val="00BD7C96"/>
    <w:rsid w:val="00BE00BA"/>
    <w:rsid w:val="00BE248B"/>
    <w:rsid w:val="00BE2510"/>
    <w:rsid w:val="00BE3144"/>
    <w:rsid w:val="00BE3C8F"/>
    <w:rsid w:val="00BE5266"/>
    <w:rsid w:val="00BE5353"/>
    <w:rsid w:val="00BE614D"/>
    <w:rsid w:val="00BE67A4"/>
    <w:rsid w:val="00BE6BD3"/>
    <w:rsid w:val="00BE7325"/>
    <w:rsid w:val="00BE7CA1"/>
    <w:rsid w:val="00BF16C5"/>
    <w:rsid w:val="00BF2770"/>
    <w:rsid w:val="00BF2B05"/>
    <w:rsid w:val="00BF3497"/>
    <w:rsid w:val="00BF630B"/>
    <w:rsid w:val="00BF7C44"/>
    <w:rsid w:val="00C00252"/>
    <w:rsid w:val="00C00AB1"/>
    <w:rsid w:val="00C00D67"/>
    <w:rsid w:val="00C0236E"/>
    <w:rsid w:val="00C03A3B"/>
    <w:rsid w:val="00C04854"/>
    <w:rsid w:val="00C06436"/>
    <w:rsid w:val="00C11624"/>
    <w:rsid w:val="00C1313D"/>
    <w:rsid w:val="00C14BE1"/>
    <w:rsid w:val="00C15771"/>
    <w:rsid w:val="00C16A48"/>
    <w:rsid w:val="00C17753"/>
    <w:rsid w:val="00C1798E"/>
    <w:rsid w:val="00C20D15"/>
    <w:rsid w:val="00C21C94"/>
    <w:rsid w:val="00C24491"/>
    <w:rsid w:val="00C244E6"/>
    <w:rsid w:val="00C25142"/>
    <w:rsid w:val="00C258DC"/>
    <w:rsid w:val="00C26032"/>
    <w:rsid w:val="00C2673F"/>
    <w:rsid w:val="00C30738"/>
    <w:rsid w:val="00C3334E"/>
    <w:rsid w:val="00C34575"/>
    <w:rsid w:val="00C34C68"/>
    <w:rsid w:val="00C35B1F"/>
    <w:rsid w:val="00C362B3"/>
    <w:rsid w:val="00C37C9B"/>
    <w:rsid w:val="00C403F2"/>
    <w:rsid w:val="00C40725"/>
    <w:rsid w:val="00C40EFE"/>
    <w:rsid w:val="00C424DA"/>
    <w:rsid w:val="00C430C7"/>
    <w:rsid w:val="00C45276"/>
    <w:rsid w:val="00C46C6D"/>
    <w:rsid w:val="00C4781B"/>
    <w:rsid w:val="00C4790D"/>
    <w:rsid w:val="00C5372D"/>
    <w:rsid w:val="00C55122"/>
    <w:rsid w:val="00C5597C"/>
    <w:rsid w:val="00C55C4A"/>
    <w:rsid w:val="00C567E8"/>
    <w:rsid w:val="00C5709F"/>
    <w:rsid w:val="00C5786D"/>
    <w:rsid w:val="00C602C0"/>
    <w:rsid w:val="00C606A7"/>
    <w:rsid w:val="00C62EAA"/>
    <w:rsid w:val="00C62FB0"/>
    <w:rsid w:val="00C6371A"/>
    <w:rsid w:val="00C64AAA"/>
    <w:rsid w:val="00C669DB"/>
    <w:rsid w:val="00C674CF"/>
    <w:rsid w:val="00C67690"/>
    <w:rsid w:val="00C676E9"/>
    <w:rsid w:val="00C71CE1"/>
    <w:rsid w:val="00C729B5"/>
    <w:rsid w:val="00C72E77"/>
    <w:rsid w:val="00C72FAC"/>
    <w:rsid w:val="00C73779"/>
    <w:rsid w:val="00C75B30"/>
    <w:rsid w:val="00C75C2B"/>
    <w:rsid w:val="00C75D11"/>
    <w:rsid w:val="00C77DAA"/>
    <w:rsid w:val="00C813F1"/>
    <w:rsid w:val="00C81821"/>
    <w:rsid w:val="00C83A4B"/>
    <w:rsid w:val="00C87439"/>
    <w:rsid w:val="00C92E9C"/>
    <w:rsid w:val="00C933DB"/>
    <w:rsid w:val="00C96347"/>
    <w:rsid w:val="00C96418"/>
    <w:rsid w:val="00C968DD"/>
    <w:rsid w:val="00C96A7B"/>
    <w:rsid w:val="00C97868"/>
    <w:rsid w:val="00CA0281"/>
    <w:rsid w:val="00CA126A"/>
    <w:rsid w:val="00CA372E"/>
    <w:rsid w:val="00CA41DC"/>
    <w:rsid w:val="00CA4B07"/>
    <w:rsid w:val="00CA61F5"/>
    <w:rsid w:val="00CA7B5C"/>
    <w:rsid w:val="00CA7F1A"/>
    <w:rsid w:val="00CB09AD"/>
    <w:rsid w:val="00CB11D3"/>
    <w:rsid w:val="00CB1AEA"/>
    <w:rsid w:val="00CB3E2F"/>
    <w:rsid w:val="00CB4371"/>
    <w:rsid w:val="00CB44F8"/>
    <w:rsid w:val="00CB4A78"/>
    <w:rsid w:val="00CB58B4"/>
    <w:rsid w:val="00CC09BD"/>
    <w:rsid w:val="00CC34E0"/>
    <w:rsid w:val="00CC5259"/>
    <w:rsid w:val="00CC671D"/>
    <w:rsid w:val="00CC7A4E"/>
    <w:rsid w:val="00CD0938"/>
    <w:rsid w:val="00CD09C6"/>
    <w:rsid w:val="00CD0BF4"/>
    <w:rsid w:val="00CD1892"/>
    <w:rsid w:val="00CD265B"/>
    <w:rsid w:val="00CD3178"/>
    <w:rsid w:val="00CD36BC"/>
    <w:rsid w:val="00CD3854"/>
    <w:rsid w:val="00CD3876"/>
    <w:rsid w:val="00CD444D"/>
    <w:rsid w:val="00CD6751"/>
    <w:rsid w:val="00CD696C"/>
    <w:rsid w:val="00CE04D6"/>
    <w:rsid w:val="00CE487C"/>
    <w:rsid w:val="00CE4FE2"/>
    <w:rsid w:val="00CE6098"/>
    <w:rsid w:val="00CE614B"/>
    <w:rsid w:val="00CE63D8"/>
    <w:rsid w:val="00CE6D07"/>
    <w:rsid w:val="00CF0D1D"/>
    <w:rsid w:val="00CF0E4B"/>
    <w:rsid w:val="00CF10D9"/>
    <w:rsid w:val="00CF1267"/>
    <w:rsid w:val="00CF6504"/>
    <w:rsid w:val="00D05D00"/>
    <w:rsid w:val="00D07251"/>
    <w:rsid w:val="00D10962"/>
    <w:rsid w:val="00D115F0"/>
    <w:rsid w:val="00D118C5"/>
    <w:rsid w:val="00D13BC0"/>
    <w:rsid w:val="00D16A1D"/>
    <w:rsid w:val="00D21474"/>
    <w:rsid w:val="00D215FB"/>
    <w:rsid w:val="00D21AA1"/>
    <w:rsid w:val="00D23E30"/>
    <w:rsid w:val="00D23FB4"/>
    <w:rsid w:val="00D2422B"/>
    <w:rsid w:val="00D25DF1"/>
    <w:rsid w:val="00D2610F"/>
    <w:rsid w:val="00D2713C"/>
    <w:rsid w:val="00D2764E"/>
    <w:rsid w:val="00D314D2"/>
    <w:rsid w:val="00D3172C"/>
    <w:rsid w:val="00D318EE"/>
    <w:rsid w:val="00D31E54"/>
    <w:rsid w:val="00D320D5"/>
    <w:rsid w:val="00D330F3"/>
    <w:rsid w:val="00D35B2D"/>
    <w:rsid w:val="00D35DE1"/>
    <w:rsid w:val="00D35F41"/>
    <w:rsid w:val="00D36B86"/>
    <w:rsid w:val="00D371E9"/>
    <w:rsid w:val="00D40363"/>
    <w:rsid w:val="00D40820"/>
    <w:rsid w:val="00D41C3D"/>
    <w:rsid w:val="00D4223B"/>
    <w:rsid w:val="00D4263C"/>
    <w:rsid w:val="00D433D3"/>
    <w:rsid w:val="00D439B9"/>
    <w:rsid w:val="00D441DA"/>
    <w:rsid w:val="00D4557A"/>
    <w:rsid w:val="00D463D0"/>
    <w:rsid w:val="00D46562"/>
    <w:rsid w:val="00D5019F"/>
    <w:rsid w:val="00D512A8"/>
    <w:rsid w:val="00D51423"/>
    <w:rsid w:val="00D51E5E"/>
    <w:rsid w:val="00D540D2"/>
    <w:rsid w:val="00D54A0F"/>
    <w:rsid w:val="00D54DF6"/>
    <w:rsid w:val="00D554A2"/>
    <w:rsid w:val="00D55F61"/>
    <w:rsid w:val="00D5649F"/>
    <w:rsid w:val="00D57A51"/>
    <w:rsid w:val="00D61A57"/>
    <w:rsid w:val="00D63497"/>
    <w:rsid w:val="00D63D84"/>
    <w:rsid w:val="00D64B43"/>
    <w:rsid w:val="00D66494"/>
    <w:rsid w:val="00D666C2"/>
    <w:rsid w:val="00D7056E"/>
    <w:rsid w:val="00D7202C"/>
    <w:rsid w:val="00D7256E"/>
    <w:rsid w:val="00D73EB6"/>
    <w:rsid w:val="00D749F5"/>
    <w:rsid w:val="00D74D4C"/>
    <w:rsid w:val="00D76C2C"/>
    <w:rsid w:val="00D7747A"/>
    <w:rsid w:val="00D77BEC"/>
    <w:rsid w:val="00D77FAC"/>
    <w:rsid w:val="00D80B9D"/>
    <w:rsid w:val="00D8222E"/>
    <w:rsid w:val="00D83CE8"/>
    <w:rsid w:val="00D85B69"/>
    <w:rsid w:val="00D87CF0"/>
    <w:rsid w:val="00D87DF9"/>
    <w:rsid w:val="00D905A5"/>
    <w:rsid w:val="00D90B2C"/>
    <w:rsid w:val="00D91554"/>
    <w:rsid w:val="00D917C9"/>
    <w:rsid w:val="00D91D6A"/>
    <w:rsid w:val="00D91E00"/>
    <w:rsid w:val="00D91E82"/>
    <w:rsid w:val="00D91EF2"/>
    <w:rsid w:val="00D95CA5"/>
    <w:rsid w:val="00DA1F24"/>
    <w:rsid w:val="00DA30C8"/>
    <w:rsid w:val="00DA3936"/>
    <w:rsid w:val="00DA3B0A"/>
    <w:rsid w:val="00DA42AD"/>
    <w:rsid w:val="00DA44F6"/>
    <w:rsid w:val="00DA5208"/>
    <w:rsid w:val="00DA5632"/>
    <w:rsid w:val="00DA5B12"/>
    <w:rsid w:val="00DB0D62"/>
    <w:rsid w:val="00DB39C5"/>
    <w:rsid w:val="00DB5525"/>
    <w:rsid w:val="00DB7AF8"/>
    <w:rsid w:val="00DC22E4"/>
    <w:rsid w:val="00DC24F0"/>
    <w:rsid w:val="00DC3505"/>
    <w:rsid w:val="00DC4505"/>
    <w:rsid w:val="00DC4B40"/>
    <w:rsid w:val="00DC4D41"/>
    <w:rsid w:val="00DC4D50"/>
    <w:rsid w:val="00DC5BC1"/>
    <w:rsid w:val="00DD2D11"/>
    <w:rsid w:val="00DD3271"/>
    <w:rsid w:val="00DD38C9"/>
    <w:rsid w:val="00DD6251"/>
    <w:rsid w:val="00DD6C8F"/>
    <w:rsid w:val="00DD721F"/>
    <w:rsid w:val="00DE12FE"/>
    <w:rsid w:val="00DE1DAA"/>
    <w:rsid w:val="00DE26E5"/>
    <w:rsid w:val="00DE3310"/>
    <w:rsid w:val="00DE554B"/>
    <w:rsid w:val="00DE5AA5"/>
    <w:rsid w:val="00DE5E0E"/>
    <w:rsid w:val="00DE79EC"/>
    <w:rsid w:val="00DE7AA0"/>
    <w:rsid w:val="00DF0403"/>
    <w:rsid w:val="00DF0A5D"/>
    <w:rsid w:val="00DF1190"/>
    <w:rsid w:val="00DF2368"/>
    <w:rsid w:val="00DF2D09"/>
    <w:rsid w:val="00DF419F"/>
    <w:rsid w:val="00DF7340"/>
    <w:rsid w:val="00E01B37"/>
    <w:rsid w:val="00E025BE"/>
    <w:rsid w:val="00E06163"/>
    <w:rsid w:val="00E0661F"/>
    <w:rsid w:val="00E1162C"/>
    <w:rsid w:val="00E116B9"/>
    <w:rsid w:val="00E124D0"/>
    <w:rsid w:val="00E12504"/>
    <w:rsid w:val="00E14316"/>
    <w:rsid w:val="00E15014"/>
    <w:rsid w:val="00E173F7"/>
    <w:rsid w:val="00E20CE1"/>
    <w:rsid w:val="00E23621"/>
    <w:rsid w:val="00E2422D"/>
    <w:rsid w:val="00E24D4F"/>
    <w:rsid w:val="00E259C6"/>
    <w:rsid w:val="00E263F5"/>
    <w:rsid w:val="00E26698"/>
    <w:rsid w:val="00E268F5"/>
    <w:rsid w:val="00E27C5E"/>
    <w:rsid w:val="00E3105A"/>
    <w:rsid w:val="00E314D0"/>
    <w:rsid w:val="00E3403D"/>
    <w:rsid w:val="00E343BF"/>
    <w:rsid w:val="00E357D8"/>
    <w:rsid w:val="00E37222"/>
    <w:rsid w:val="00E40AD7"/>
    <w:rsid w:val="00E40C66"/>
    <w:rsid w:val="00E41006"/>
    <w:rsid w:val="00E42820"/>
    <w:rsid w:val="00E42F60"/>
    <w:rsid w:val="00E442BE"/>
    <w:rsid w:val="00E44986"/>
    <w:rsid w:val="00E50128"/>
    <w:rsid w:val="00E50132"/>
    <w:rsid w:val="00E50223"/>
    <w:rsid w:val="00E50427"/>
    <w:rsid w:val="00E50C74"/>
    <w:rsid w:val="00E512A6"/>
    <w:rsid w:val="00E51BEC"/>
    <w:rsid w:val="00E5291F"/>
    <w:rsid w:val="00E52F32"/>
    <w:rsid w:val="00E5483A"/>
    <w:rsid w:val="00E56111"/>
    <w:rsid w:val="00E57C84"/>
    <w:rsid w:val="00E6005D"/>
    <w:rsid w:val="00E61FFB"/>
    <w:rsid w:val="00E622B4"/>
    <w:rsid w:val="00E62B57"/>
    <w:rsid w:val="00E63BBE"/>
    <w:rsid w:val="00E643A4"/>
    <w:rsid w:val="00E65014"/>
    <w:rsid w:val="00E65379"/>
    <w:rsid w:val="00E6667D"/>
    <w:rsid w:val="00E66DB6"/>
    <w:rsid w:val="00E67513"/>
    <w:rsid w:val="00E74EE0"/>
    <w:rsid w:val="00E763B3"/>
    <w:rsid w:val="00E76A76"/>
    <w:rsid w:val="00E80882"/>
    <w:rsid w:val="00E81B17"/>
    <w:rsid w:val="00E829B3"/>
    <w:rsid w:val="00E84899"/>
    <w:rsid w:val="00E85215"/>
    <w:rsid w:val="00E85887"/>
    <w:rsid w:val="00E86446"/>
    <w:rsid w:val="00E876DC"/>
    <w:rsid w:val="00E87F3A"/>
    <w:rsid w:val="00E9102C"/>
    <w:rsid w:val="00E91AAE"/>
    <w:rsid w:val="00E92004"/>
    <w:rsid w:val="00E92547"/>
    <w:rsid w:val="00E928DA"/>
    <w:rsid w:val="00E93D93"/>
    <w:rsid w:val="00E94F22"/>
    <w:rsid w:val="00E95521"/>
    <w:rsid w:val="00E960B8"/>
    <w:rsid w:val="00E97454"/>
    <w:rsid w:val="00E979F9"/>
    <w:rsid w:val="00EA35F5"/>
    <w:rsid w:val="00EA36A2"/>
    <w:rsid w:val="00EA3839"/>
    <w:rsid w:val="00EA3BA8"/>
    <w:rsid w:val="00EA7031"/>
    <w:rsid w:val="00EB3109"/>
    <w:rsid w:val="00EB3F02"/>
    <w:rsid w:val="00EB5F7C"/>
    <w:rsid w:val="00EC2563"/>
    <w:rsid w:val="00EC5F73"/>
    <w:rsid w:val="00EC616E"/>
    <w:rsid w:val="00EC68AF"/>
    <w:rsid w:val="00EC7700"/>
    <w:rsid w:val="00EC7DD7"/>
    <w:rsid w:val="00ED0924"/>
    <w:rsid w:val="00ED09CA"/>
    <w:rsid w:val="00ED26B2"/>
    <w:rsid w:val="00ED6329"/>
    <w:rsid w:val="00ED6A7D"/>
    <w:rsid w:val="00ED6DCD"/>
    <w:rsid w:val="00EE1ADB"/>
    <w:rsid w:val="00EE1E3C"/>
    <w:rsid w:val="00EE2F5C"/>
    <w:rsid w:val="00EE39E2"/>
    <w:rsid w:val="00EE4839"/>
    <w:rsid w:val="00EE499C"/>
    <w:rsid w:val="00EE5B1D"/>
    <w:rsid w:val="00EE6529"/>
    <w:rsid w:val="00EE669B"/>
    <w:rsid w:val="00EE69A1"/>
    <w:rsid w:val="00EE7BCA"/>
    <w:rsid w:val="00EF03F9"/>
    <w:rsid w:val="00EF20F7"/>
    <w:rsid w:val="00EF263F"/>
    <w:rsid w:val="00EF269C"/>
    <w:rsid w:val="00EF2F2E"/>
    <w:rsid w:val="00EF3088"/>
    <w:rsid w:val="00EF315B"/>
    <w:rsid w:val="00EF31BB"/>
    <w:rsid w:val="00EF47F9"/>
    <w:rsid w:val="00EF5AB3"/>
    <w:rsid w:val="00EF5C77"/>
    <w:rsid w:val="00EF617B"/>
    <w:rsid w:val="00EF6B1E"/>
    <w:rsid w:val="00EF6C08"/>
    <w:rsid w:val="00EF798F"/>
    <w:rsid w:val="00EF7A97"/>
    <w:rsid w:val="00F0058F"/>
    <w:rsid w:val="00F0297E"/>
    <w:rsid w:val="00F0304F"/>
    <w:rsid w:val="00F0316C"/>
    <w:rsid w:val="00F03DBD"/>
    <w:rsid w:val="00F03F62"/>
    <w:rsid w:val="00F04416"/>
    <w:rsid w:val="00F0443B"/>
    <w:rsid w:val="00F06333"/>
    <w:rsid w:val="00F06881"/>
    <w:rsid w:val="00F06D30"/>
    <w:rsid w:val="00F07742"/>
    <w:rsid w:val="00F102F0"/>
    <w:rsid w:val="00F104B9"/>
    <w:rsid w:val="00F11D0E"/>
    <w:rsid w:val="00F13AA5"/>
    <w:rsid w:val="00F143E1"/>
    <w:rsid w:val="00F154DE"/>
    <w:rsid w:val="00F15FA3"/>
    <w:rsid w:val="00F16FF0"/>
    <w:rsid w:val="00F174A6"/>
    <w:rsid w:val="00F17E7C"/>
    <w:rsid w:val="00F17FAF"/>
    <w:rsid w:val="00F22775"/>
    <w:rsid w:val="00F22E22"/>
    <w:rsid w:val="00F232DD"/>
    <w:rsid w:val="00F2455F"/>
    <w:rsid w:val="00F25921"/>
    <w:rsid w:val="00F26FAA"/>
    <w:rsid w:val="00F27045"/>
    <w:rsid w:val="00F278B3"/>
    <w:rsid w:val="00F31801"/>
    <w:rsid w:val="00F31859"/>
    <w:rsid w:val="00F31A0A"/>
    <w:rsid w:val="00F330D7"/>
    <w:rsid w:val="00F3646A"/>
    <w:rsid w:val="00F439D8"/>
    <w:rsid w:val="00F4425F"/>
    <w:rsid w:val="00F4511E"/>
    <w:rsid w:val="00F466BC"/>
    <w:rsid w:val="00F47298"/>
    <w:rsid w:val="00F4738F"/>
    <w:rsid w:val="00F47C91"/>
    <w:rsid w:val="00F50CB6"/>
    <w:rsid w:val="00F51A9F"/>
    <w:rsid w:val="00F52B86"/>
    <w:rsid w:val="00F549A0"/>
    <w:rsid w:val="00F54F22"/>
    <w:rsid w:val="00F550B0"/>
    <w:rsid w:val="00F56F1D"/>
    <w:rsid w:val="00F57021"/>
    <w:rsid w:val="00F60207"/>
    <w:rsid w:val="00F618F8"/>
    <w:rsid w:val="00F623D7"/>
    <w:rsid w:val="00F62517"/>
    <w:rsid w:val="00F62870"/>
    <w:rsid w:val="00F62D35"/>
    <w:rsid w:val="00F6600C"/>
    <w:rsid w:val="00F66D60"/>
    <w:rsid w:val="00F700AC"/>
    <w:rsid w:val="00F720B2"/>
    <w:rsid w:val="00F72C02"/>
    <w:rsid w:val="00F73439"/>
    <w:rsid w:val="00F73AE7"/>
    <w:rsid w:val="00F745DE"/>
    <w:rsid w:val="00F82E9C"/>
    <w:rsid w:val="00F835CB"/>
    <w:rsid w:val="00F83B52"/>
    <w:rsid w:val="00F83F49"/>
    <w:rsid w:val="00F84861"/>
    <w:rsid w:val="00F859A1"/>
    <w:rsid w:val="00F85D57"/>
    <w:rsid w:val="00F86A47"/>
    <w:rsid w:val="00F90A61"/>
    <w:rsid w:val="00F90E01"/>
    <w:rsid w:val="00F9104C"/>
    <w:rsid w:val="00F91E6F"/>
    <w:rsid w:val="00F94C2B"/>
    <w:rsid w:val="00F95541"/>
    <w:rsid w:val="00F96A01"/>
    <w:rsid w:val="00F97961"/>
    <w:rsid w:val="00FA1CA8"/>
    <w:rsid w:val="00FA3D2E"/>
    <w:rsid w:val="00FA4580"/>
    <w:rsid w:val="00FA4FA9"/>
    <w:rsid w:val="00FA65D3"/>
    <w:rsid w:val="00FA6CEC"/>
    <w:rsid w:val="00FA7C90"/>
    <w:rsid w:val="00FA7E67"/>
    <w:rsid w:val="00FB1D7F"/>
    <w:rsid w:val="00FB35F9"/>
    <w:rsid w:val="00FB361F"/>
    <w:rsid w:val="00FB3E50"/>
    <w:rsid w:val="00FB3F90"/>
    <w:rsid w:val="00FB4D5D"/>
    <w:rsid w:val="00FB4E43"/>
    <w:rsid w:val="00FB6684"/>
    <w:rsid w:val="00FB77BF"/>
    <w:rsid w:val="00FC0447"/>
    <w:rsid w:val="00FC067E"/>
    <w:rsid w:val="00FC0D7C"/>
    <w:rsid w:val="00FC14D5"/>
    <w:rsid w:val="00FC1AAB"/>
    <w:rsid w:val="00FC4105"/>
    <w:rsid w:val="00FC6384"/>
    <w:rsid w:val="00FC6561"/>
    <w:rsid w:val="00FD1546"/>
    <w:rsid w:val="00FD1C98"/>
    <w:rsid w:val="00FD23AB"/>
    <w:rsid w:val="00FD257E"/>
    <w:rsid w:val="00FD354A"/>
    <w:rsid w:val="00FD3D92"/>
    <w:rsid w:val="00FD4E20"/>
    <w:rsid w:val="00FE008D"/>
    <w:rsid w:val="00FE028A"/>
    <w:rsid w:val="00FE2AD8"/>
    <w:rsid w:val="00FE30FA"/>
    <w:rsid w:val="00FE47DE"/>
    <w:rsid w:val="00FE6BFD"/>
    <w:rsid w:val="00FE6D89"/>
    <w:rsid w:val="00FE7AAE"/>
    <w:rsid w:val="00FE7D91"/>
    <w:rsid w:val="00FF2329"/>
    <w:rsid w:val="00FF2DA9"/>
    <w:rsid w:val="00FF37A6"/>
    <w:rsid w:val="00FF3919"/>
    <w:rsid w:val="00FF4868"/>
    <w:rsid w:val="00FF509D"/>
    <w:rsid w:val="00FF5F20"/>
    <w:rsid w:val="00FF78E9"/>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PMingLiU" w:hAnsi="Calibri" w:cs="Times New Roman"/>
        <w:sz w:val="22"/>
        <w:szCs w:val="22"/>
        <w:lang w:val="es-ES" w:eastAsia="es-E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annotation text" w:unhideWhenUsed="1"/>
    <w:lsdException w:name="index heading" w:unhideWhenUsed="1"/>
    <w:lsdException w:name="caption" w:semiHidden="0" w:qFormat="1"/>
    <w:lsdException w:name="envelope address" w:unhideWhenUsed="1"/>
    <w:lsdException w:name="envelope return"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qFormat="1"/>
    <w:lsdException w:name="Emphasis" w:semiHidden="0" w:qFormat="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qFormat="1"/>
    <w:lsdException w:name="Bibliography" w:uiPriority="37" w:unhideWhenUsed="1"/>
    <w:lsdException w:name="TOC Heading" w:semiHidden="0" w:qFormat="1"/>
  </w:latentStyles>
  <w:style w:type="paragraph" w:default="1" w:styleId="Normal">
    <w:name w:val="Normal"/>
    <w:qFormat/>
    <w:rsid w:val="00363AA7"/>
    <w:pPr>
      <w:spacing w:before="200" w:after="200" w:line="276" w:lineRule="auto"/>
      <w:jc w:val="both"/>
    </w:pPr>
    <w:rPr>
      <w:rFonts w:cs="Calibri"/>
      <w:lang w:val="en-US" w:eastAsia="en-US"/>
    </w:rPr>
  </w:style>
  <w:style w:type="paragraph" w:styleId="Heading1">
    <w:name w:val="heading 1"/>
    <w:aliases w:val="TÍTULO 1,Título 1 arial,LegalNum1"/>
    <w:basedOn w:val="Normal"/>
    <w:next w:val="Normal"/>
    <w:link w:val="Heading1Char"/>
    <w:uiPriority w:val="99"/>
    <w:qFormat/>
    <w:rsid w:val="00576FDD"/>
    <w:pPr>
      <w:numPr>
        <w:numId w:val="5"/>
      </w:numPr>
      <w:pBdr>
        <w:top w:val="single" w:sz="24" w:space="0" w:color="B9AD8C"/>
        <w:left w:val="single" w:sz="24" w:space="0" w:color="B9AD8C"/>
        <w:bottom w:val="single" w:sz="24" w:space="0" w:color="B9AD8C"/>
        <w:right w:val="single" w:sz="24" w:space="0" w:color="B9AD8C"/>
      </w:pBdr>
      <w:shd w:val="clear" w:color="auto" w:fill="B9AD8C"/>
      <w:spacing w:after="0"/>
      <w:outlineLvl w:val="0"/>
    </w:pPr>
    <w:rPr>
      <w:b/>
      <w:bCs/>
      <w:caps/>
      <w:spacing w:val="15"/>
    </w:rPr>
  </w:style>
  <w:style w:type="paragraph" w:styleId="Heading2">
    <w:name w:val="heading 2"/>
    <w:aliases w:val="TÍTULO 2"/>
    <w:basedOn w:val="Normal"/>
    <w:next w:val="Normal"/>
    <w:link w:val="Heading2Char"/>
    <w:uiPriority w:val="99"/>
    <w:qFormat/>
    <w:rsid w:val="00576FDD"/>
    <w:pPr>
      <w:numPr>
        <w:ilvl w:val="1"/>
        <w:numId w:val="5"/>
      </w:numPr>
      <w:pBdr>
        <w:top w:val="single" w:sz="24" w:space="0" w:color="D2CAB6"/>
        <w:left w:val="single" w:sz="24" w:space="0" w:color="D2CAB6"/>
        <w:bottom w:val="single" w:sz="24" w:space="0" w:color="D2CAB6"/>
        <w:right w:val="single" w:sz="24" w:space="0" w:color="D2CAB6"/>
      </w:pBdr>
      <w:shd w:val="clear" w:color="auto" w:fill="D2CAB6"/>
      <w:spacing w:after="0"/>
      <w:outlineLvl w:val="1"/>
    </w:pPr>
    <w:rPr>
      <w:b/>
      <w:bCs/>
      <w:caps/>
      <w:spacing w:val="15"/>
    </w:rPr>
  </w:style>
  <w:style w:type="paragraph" w:styleId="Heading3">
    <w:name w:val="heading 3"/>
    <w:aliases w:val="TÍTULO 3,Heading 3 Char,Heading 3 Char Char"/>
    <w:basedOn w:val="Normal"/>
    <w:next w:val="Normal"/>
    <w:link w:val="Heading3Char1"/>
    <w:autoRedefine/>
    <w:uiPriority w:val="99"/>
    <w:qFormat/>
    <w:rsid w:val="002A3AE6"/>
    <w:pPr>
      <w:numPr>
        <w:ilvl w:val="2"/>
        <w:numId w:val="5"/>
      </w:numPr>
      <w:spacing w:before="300" w:after="0"/>
      <w:outlineLvl w:val="2"/>
    </w:pPr>
    <w:rPr>
      <w:caps/>
      <w:spacing w:val="15"/>
      <w:lang w:val="es-ES"/>
    </w:rPr>
  </w:style>
  <w:style w:type="paragraph" w:styleId="Heading4">
    <w:name w:val="heading 4"/>
    <w:aliases w:val="Sub-subaptdo,Bulleted"/>
    <w:basedOn w:val="Normal"/>
    <w:next w:val="Normal"/>
    <w:link w:val="Heading4Char"/>
    <w:autoRedefine/>
    <w:uiPriority w:val="99"/>
    <w:qFormat/>
    <w:rsid w:val="001216C8"/>
    <w:pPr>
      <w:numPr>
        <w:ilvl w:val="3"/>
        <w:numId w:val="5"/>
      </w:numPr>
      <w:pBdr>
        <w:bottom w:val="single" w:sz="4" w:space="1" w:color="323232"/>
      </w:pBdr>
      <w:outlineLvl w:val="3"/>
    </w:pPr>
    <w:rPr>
      <w:i/>
      <w:iCs/>
      <w:lang w:val="es-ES"/>
    </w:rPr>
  </w:style>
  <w:style w:type="paragraph" w:styleId="Heading5">
    <w:name w:val="heading 5"/>
    <w:aliases w:val="Sub-sub-subaptdo"/>
    <w:basedOn w:val="Normal"/>
    <w:next w:val="Normal"/>
    <w:link w:val="Heading5Char"/>
    <w:uiPriority w:val="99"/>
    <w:qFormat/>
    <w:rsid w:val="005574B7"/>
    <w:pPr>
      <w:numPr>
        <w:ilvl w:val="4"/>
        <w:numId w:val="5"/>
      </w:numPr>
      <w:pBdr>
        <w:bottom w:val="single" w:sz="6" w:space="1" w:color="F07F09"/>
      </w:pBdr>
      <w:spacing w:before="240" w:after="120" w:line="240" w:lineRule="auto"/>
      <w:ind w:left="1009" w:hanging="1009"/>
      <w:outlineLvl w:val="4"/>
    </w:pPr>
    <w:rPr>
      <w:caps/>
      <w:color w:val="B35E06"/>
      <w:spacing w:val="10"/>
    </w:rPr>
  </w:style>
  <w:style w:type="paragraph" w:styleId="Heading6">
    <w:name w:val="heading 6"/>
    <w:basedOn w:val="Normal"/>
    <w:next w:val="Normal"/>
    <w:link w:val="Heading6Char"/>
    <w:uiPriority w:val="99"/>
    <w:qFormat/>
    <w:rsid w:val="0055096B"/>
    <w:pPr>
      <w:numPr>
        <w:ilvl w:val="5"/>
        <w:numId w:val="5"/>
      </w:numPr>
      <w:pBdr>
        <w:bottom w:val="dotted" w:sz="6" w:space="1" w:color="F07F09"/>
      </w:pBdr>
      <w:spacing w:before="300" w:after="0"/>
      <w:outlineLvl w:val="5"/>
    </w:pPr>
    <w:rPr>
      <w:caps/>
      <w:color w:val="B35E06"/>
      <w:spacing w:val="10"/>
    </w:rPr>
  </w:style>
  <w:style w:type="paragraph" w:styleId="Heading7">
    <w:name w:val="heading 7"/>
    <w:basedOn w:val="Normal"/>
    <w:next w:val="Normal"/>
    <w:link w:val="Heading7Char"/>
    <w:uiPriority w:val="99"/>
    <w:qFormat/>
    <w:rsid w:val="0055096B"/>
    <w:pPr>
      <w:numPr>
        <w:ilvl w:val="6"/>
        <w:numId w:val="5"/>
      </w:numPr>
      <w:spacing w:before="300" w:after="0"/>
      <w:outlineLvl w:val="6"/>
    </w:pPr>
    <w:rPr>
      <w:caps/>
      <w:color w:val="B35E06"/>
      <w:spacing w:val="10"/>
    </w:rPr>
  </w:style>
  <w:style w:type="paragraph" w:styleId="Heading8">
    <w:name w:val="heading 8"/>
    <w:basedOn w:val="Normal"/>
    <w:next w:val="Normal"/>
    <w:link w:val="Heading8Char"/>
    <w:uiPriority w:val="99"/>
    <w:qFormat/>
    <w:rsid w:val="0055096B"/>
    <w:pPr>
      <w:numPr>
        <w:ilvl w:val="7"/>
        <w:numId w:val="5"/>
      </w:numPr>
      <w:spacing w:before="300" w:after="0"/>
      <w:outlineLvl w:val="7"/>
    </w:pPr>
    <w:rPr>
      <w:caps/>
      <w:spacing w:val="10"/>
      <w:sz w:val="18"/>
      <w:szCs w:val="18"/>
    </w:rPr>
  </w:style>
  <w:style w:type="paragraph" w:styleId="Heading9">
    <w:name w:val="heading 9"/>
    <w:basedOn w:val="Normal"/>
    <w:next w:val="Normal"/>
    <w:link w:val="Heading9Char"/>
    <w:uiPriority w:val="99"/>
    <w:qFormat/>
    <w:rsid w:val="0055096B"/>
    <w:pPr>
      <w:numPr>
        <w:ilvl w:val="8"/>
        <w:numId w:val="5"/>
      </w:numPr>
      <w:spacing w:before="300" w:after="0"/>
      <w:outlineLvl w:val="8"/>
    </w:pPr>
    <w:rPr>
      <w:i/>
      <w:iCs/>
      <w:caps/>
      <w:spacing w:val="10"/>
      <w:sz w:val="18"/>
      <w:szCs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ÍTULO 1 Char,Título 1 arial Char,LegalNum1 Char"/>
    <w:basedOn w:val="DefaultParagraphFont"/>
    <w:link w:val="Heading1"/>
    <w:uiPriority w:val="99"/>
    <w:rsid w:val="00576FDD"/>
    <w:rPr>
      <w:b/>
      <w:bCs/>
      <w:caps/>
      <w:spacing w:val="15"/>
      <w:shd w:val="clear" w:color="auto" w:fill="B9AD8C"/>
    </w:rPr>
  </w:style>
  <w:style w:type="character" w:customStyle="1" w:styleId="Heading2Char">
    <w:name w:val="Heading 2 Char"/>
    <w:aliases w:val="TÍTULO 2 Char"/>
    <w:basedOn w:val="DefaultParagraphFont"/>
    <w:link w:val="Heading2"/>
    <w:uiPriority w:val="99"/>
    <w:rsid w:val="00576FDD"/>
    <w:rPr>
      <w:b/>
      <w:bCs/>
      <w:caps/>
      <w:spacing w:val="15"/>
      <w:shd w:val="clear" w:color="auto" w:fill="D2CAB6"/>
    </w:rPr>
  </w:style>
  <w:style w:type="character" w:customStyle="1" w:styleId="Heading3Char1">
    <w:name w:val="Heading 3 Char1"/>
    <w:aliases w:val="TÍTULO 3 Char,Heading 3 Char Char1,Heading 3 Char Char Char"/>
    <w:basedOn w:val="DefaultParagraphFont"/>
    <w:link w:val="Heading3"/>
    <w:uiPriority w:val="99"/>
    <w:rsid w:val="002A3AE6"/>
    <w:rPr>
      <w:caps/>
      <w:spacing w:val="15"/>
      <w:lang w:val="es-ES"/>
    </w:rPr>
  </w:style>
  <w:style w:type="character" w:customStyle="1" w:styleId="Heading4Char">
    <w:name w:val="Heading 4 Char"/>
    <w:aliases w:val="Sub-subaptdo Char,Bulleted Char"/>
    <w:basedOn w:val="DefaultParagraphFont"/>
    <w:link w:val="Heading4"/>
    <w:uiPriority w:val="99"/>
    <w:rsid w:val="001216C8"/>
    <w:rPr>
      <w:i/>
      <w:iCs/>
      <w:sz w:val="20"/>
      <w:szCs w:val="20"/>
      <w:lang w:val="es-ES"/>
    </w:rPr>
  </w:style>
  <w:style w:type="character" w:customStyle="1" w:styleId="Heading5Char">
    <w:name w:val="Heading 5 Char"/>
    <w:aliases w:val="Sub-sub-subaptdo Char"/>
    <w:basedOn w:val="DefaultParagraphFont"/>
    <w:link w:val="Heading5"/>
    <w:uiPriority w:val="99"/>
    <w:rsid w:val="005574B7"/>
    <w:rPr>
      <w:caps/>
      <w:color w:val="B35E06"/>
      <w:spacing w:val="10"/>
    </w:rPr>
  </w:style>
  <w:style w:type="character" w:customStyle="1" w:styleId="Heading6Char">
    <w:name w:val="Heading 6 Char"/>
    <w:basedOn w:val="DefaultParagraphFont"/>
    <w:link w:val="Heading6"/>
    <w:uiPriority w:val="99"/>
    <w:rsid w:val="0055096B"/>
    <w:rPr>
      <w:caps/>
      <w:color w:val="B35E06"/>
      <w:spacing w:val="10"/>
    </w:rPr>
  </w:style>
  <w:style w:type="character" w:customStyle="1" w:styleId="Heading7Char">
    <w:name w:val="Heading 7 Char"/>
    <w:basedOn w:val="DefaultParagraphFont"/>
    <w:link w:val="Heading7"/>
    <w:uiPriority w:val="99"/>
    <w:rsid w:val="0055096B"/>
    <w:rPr>
      <w:caps/>
      <w:color w:val="B35E06"/>
      <w:spacing w:val="10"/>
    </w:rPr>
  </w:style>
  <w:style w:type="character" w:customStyle="1" w:styleId="Heading8Char">
    <w:name w:val="Heading 8 Char"/>
    <w:basedOn w:val="DefaultParagraphFont"/>
    <w:link w:val="Heading8"/>
    <w:uiPriority w:val="99"/>
    <w:rsid w:val="0055096B"/>
    <w:rPr>
      <w:caps/>
      <w:spacing w:val="10"/>
      <w:sz w:val="18"/>
      <w:szCs w:val="18"/>
    </w:rPr>
  </w:style>
  <w:style w:type="character" w:customStyle="1" w:styleId="Heading9Char">
    <w:name w:val="Heading 9 Char"/>
    <w:basedOn w:val="DefaultParagraphFont"/>
    <w:link w:val="Heading9"/>
    <w:uiPriority w:val="99"/>
    <w:rsid w:val="0055096B"/>
    <w:rPr>
      <w:i/>
      <w:iCs/>
      <w:caps/>
      <w:spacing w:val="10"/>
      <w:sz w:val="18"/>
      <w:szCs w:val="18"/>
    </w:rPr>
  </w:style>
  <w:style w:type="table" w:styleId="TableGrid">
    <w:name w:val="Table Grid"/>
    <w:basedOn w:val="TableNormal"/>
    <w:uiPriority w:val="99"/>
    <w:rsid w:val="000515F2"/>
    <w:pPr>
      <w:spacing w:before="120" w:after="240" w:line="312" w:lineRule="auto"/>
      <w:jc w:val="both"/>
    </w:pPr>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Appendix,h,Encabezado seccion"/>
    <w:basedOn w:val="Normal"/>
    <w:link w:val="HeaderChar"/>
    <w:uiPriority w:val="99"/>
    <w:rsid w:val="00B0179A"/>
    <w:pPr>
      <w:tabs>
        <w:tab w:val="center" w:pos="4252"/>
        <w:tab w:val="right" w:pos="8504"/>
      </w:tabs>
    </w:pPr>
  </w:style>
  <w:style w:type="character" w:customStyle="1" w:styleId="HeaderChar">
    <w:name w:val="Header Char"/>
    <w:aliases w:val="Appendix Char,h Char,Encabezado seccion Char"/>
    <w:basedOn w:val="DefaultParagraphFont"/>
    <w:link w:val="Header"/>
    <w:uiPriority w:val="99"/>
    <w:rsid w:val="00BC2C2E"/>
    <w:rPr>
      <w:rFonts w:ascii="Trebuchet MS" w:hAnsi="Trebuchet MS" w:cs="Trebuchet MS"/>
      <w:sz w:val="24"/>
      <w:szCs w:val="24"/>
    </w:rPr>
  </w:style>
  <w:style w:type="paragraph" w:styleId="Footer">
    <w:name w:val="footer"/>
    <w:basedOn w:val="Normal"/>
    <w:link w:val="FooterChar"/>
    <w:uiPriority w:val="99"/>
    <w:rsid w:val="00B0179A"/>
    <w:pPr>
      <w:tabs>
        <w:tab w:val="center" w:pos="4252"/>
        <w:tab w:val="right" w:pos="8504"/>
      </w:tabs>
    </w:pPr>
  </w:style>
  <w:style w:type="character" w:customStyle="1" w:styleId="FooterChar">
    <w:name w:val="Footer Char"/>
    <w:basedOn w:val="DefaultParagraphFont"/>
    <w:link w:val="Footer"/>
    <w:uiPriority w:val="99"/>
    <w:rsid w:val="00BC2C2E"/>
    <w:rPr>
      <w:rFonts w:ascii="Trebuchet MS" w:hAnsi="Trebuchet MS" w:cs="Trebuchet MS"/>
      <w:sz w:val="24"/>
      <w:szCs w:val="24"/>
    </w:rPr>
  </w:style>
  <w:style w:type="character" w:styleId="PageNumber">
    <w:name w:val="page number"/>
    <w:basedOn w:val="DefaultParagraphFont"/>
    <w:uiPriority w:val="99"/>
    <w:rsid w:val="00431A53"/>
  </w:style>
  <w:style w:type="paragraph" w:styleId="TOC1">
    <w:name w:val="toc 1"/>
    <w:basedOn w:val="Normal"/>
    <w:next w:val="Normal"/>
    <w:autoRedefine/>
    <w:uiPriority w:val="99"/>
    <w:semiHidden/>
    <w:rsid w:val="00C430C7"/>
    <w:pPr>
      <w:tabs>
        <w:tab w:val="left" w:pos="440"/>
        <w:tab w:val="right" w:leader="dot" w:pos="9060"/>
      </w:tabs>
    </w:pPr>
    <w:rPr>
      <w:b/>
      <w:bCs/>
      <w:caps/>
      <w:noProof/>
    </w:rPr>
  </w:style>
  <w:style w:type="paragraph" w:styleId="TOC2">
    <w:name w:val="toc 2"/>
    <w:basedOn w:val="Normal"/>
    <w:next w:val="Normal"/>
    <w:autoRedefine/>
    <w:uiPriority w:val="99"/>
    <w:semiHidden/>
    <w:rsid w:val="00AD702B"/>
    <w:pPr>
      <w:tabs>
        <w:tab w:val="left" w:pos="749"/>
        <w:tab w:val="right" w:leader="dot" w:pos="9060"/>
      </w:tabs>
      <w:ind w:left="709" w:hanging="489"/>
    </w:pPr>
    <w:rPr>
      <w:caps/>
    </w:rPr>
  </w:style>
  <w:style w:type="paragraph" w:styleId="TOC3">
    <w:name w:val="toc 3"/>
    <w:basedOn w:val="Normal"/>
    <w:next w:val="Normal"/>
    <w:autoRedefine/>
    <w:uiPriority w:val="99"/>
    <w:semiHidden/>
    <w:rsid w:val="001C26AC"/>
    <w:pPr>
      <w:tabs>
        <w:tab w:val="left" w:pos="1136"/>
        <w:tab w:val="left" w:pos="1320"/>
        <w:tab w:val="right" w:leader="dot" w:pos="9072"/>
      </w:tabs>
      <w:ind w:left="1134" w:hanging="708"/>
    </w:pPr>
  </w:style>
  <w:style w:type="character" w:styleId="Hyperlink">
    <w:name w:val="Hyperlink"/>
    <w:basedOn w:val="DefaultParagraphFont"/>
    <w:uiPriority w:val="99"/>
    <w:rsid w:val="00295866"/>
    <w:rPr>
      <w:color w:val="0000FF"/>
      <w:u w:val="single"/>
    </w:rPr>
  </w:style>
  <w:style w:type="paragraph" w:styleId="TOC4">
    <w:name w:val="toc 4"/>
    <w:basedOn w:val="Normal"/>
    <w:next w:val="Normal"/>
    <w:autoRedefine/>
    <w:uiPriority w:val="99"/>
    <w:semiHidden/>
    <w:rsid w:val="00295866"/>
    <w:pPr>
      <w:ind w:left="660"/>
    </w:pPr>
  </w:style>
  <w:style w:type="paragraph" w:customStyle="1" w:styleId="Revisable">
    <w:name w:val="Revisable"/>
    <w:basedOn w:val="Normal"/>
    <w:uiPriority w:val="99"/>
    <w:rsid w:val="004D2FF3"/>
    <w:rPr>
      <w:color w:val="FF0000"/>
      <w:effect w:val="antsRed"/>
    </w:rPr>
  </w:style>
  <w:style w:type="paragraph" w:customStyle="1" w:styleId="TextodeTabla">
    <w:name w:val="Texto de Tabla"/>
    <w:basedOn w:val="Normal"/>
    <w:uiPriority w:val="99"/>
    <w:rsid w:val="00AB3B1D"/>
    <w:pPr>
      <w:spacing w:before="0" w:after="0" w:line="240" w:lineRule="auto"/>
      <w:jc w:val="center"/>
    </w:pPr>
    <w:rPr>
      <w:sz w:val="16"/>
      <w:szCs w:val="16"/>
    </w:rPr>
  </w:style>
  <w:style w:type="paragraph" w:styleId="BalloonText">
    <w:name w:val="Balloon Text"/>
    <w:basedOn w:val="Normal"/>
    <w:link w:val="BalloonTextChar"/>
    <w:uiPriority w:val="99"/>
    <w:semiHidden/>
    <w:rsid w:val="00DF040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403"/>
    <w:rPr>
      <w:rFonts w:ascii="Tahoma" w:hAnsi="Tahoma" w:cs="Tahoma"/>
      <w:sz w:val="16"/>
      <w:szCs w:val="16"/>
    </w:rPr>
  </w:style>
  <w:style w:type="paragraph" w:styleId="ListParagraph">
    <w:name w:val="List Paragraph"/>
    <w:aliases w:val="Llista Nivell1,Lista de nivel 1,Paragraphe de liste PBLH,Bullet Points,Liste Paragraf"/>
    <w:basedOn w:val="Normal"/>
    <w:link w:val="ListParagraphChar"/>
    <w:uiPriority w:val="99"/>
    <w:qFormat/>
    <w:rsid w:val="0055096B"/>
    <w:pPr>
      <w:ind w:left="720"/>
    </w:pPr>
  </w:style>
  <w:style w:type="paragraph" w:customStyle="1" w:styleId="Ttuloguion1">
    <w:name w:val="Título guion 1"/>
    <w:basedOn w:val="Normal"/>
    <w:uiPriority w:val="99"/>
    <w:rsid w:val="00842E0C"/>
    <w:pPr>
      <w:numPr>
        <w:numId w:val="1"/>
      </w:numPr>
    </w:pPr>
  </w:style>
  <w:style w:type="paragraph" w:styleId="NoSpacing">
    <w:name w:val="No Spacing"/>
    <w:basedOn w:val="Normal"/>
    <w:link w:val="NoSpacingChar"/>
    <w:uiPriority w:val="99"/>
    <w:qFormat/>
    <w:rsid w:val="0055096B"/>
    <w:pPr>
      <w:spacing w:before="0" w:after="0" w:line="240" w:lineRule="auto"/>
    </w:pPr>
  </w:style>
  <w:style w:type="character" w:customStyle="1" w:styleId="NoSpacingChar">
    <w:name w:val="No Spacing Char"/>
    <w:basedOn w:val="DefaultParagraphFont"/>
    <w:link w:val="NoSpacing"/>
    <w:uiPriority w:val="99"/>
    <w:rsid w:val="0055096B"/>
    <w:rPr>
      <w:sz w:val="20"/>
      <w:szCs w:val="20"/>
    </w:rPr>
  </w:style>
  <w:style w:type="paragraph" w:styleId="TOCHeading">
    <w:name w:val="TOC Heading"/>
    <w:basedOn w:val="Heading1"/>
    <w:next w:val="Normal"/>
    <w:uiPriority w:val="99"/>
    <w:qFormat/>
    <w:rsid w:val="0055096B"/>
    <w:pPr>
      <w:outlineLvl w:val="9"/>
    </w:pPr>
  </w:style>
  <w:style w:type="paragraph" w:customStyle="1" w:styleId="CERCEDILLA1">
    <w:name w:val="CERCEDILLA 1"/>
    <w:basedOn w:val="ListParagraph"/>
    <w:link w:val="CERCEDILLA1Car"/>
    <w:autoRedefine/>
    <w:uiPriority w:val="99"/>
    <w:rsid w:val="00EE1E3C"/>
    <w:pPr>
      <w:numPr>
        <w:numId w:val="2"/>
      </w:numPr>
      <w:spacing w:after="120"/>
      <w:ind w:left="357" w:hanging="357"/>
    </w:pPr>
    <w:rPr>
      <w:rFonts w:ascii="Arial" w:hAnsi="Arial" w:cs="Arial"/>
      <w:b/>
      <w:bCs/>
      <w:color w:val="323232"/>
    </w:rPr>
  </w:style>
  <w:style w:type="paragraph" w:customStyle="1" w:styleId="CERCEDILLA2">
    <w:name w:val="CERCEDILLA 2"/>
    <w:basedOn w:val="ListParagraph"/>
    <w:link w:val="CERCEDILLA2Car"/>
    <w:autoRedefine/>
    <w:uiPriority w:val="99"/>
    <w:rsid w:val="00CB3E2F"/>
    <w:pPr>
      <w:numPr>
        <w:ilvl w:val="1"/>
        <w:numId w:val="2"/>
      </w:numPr>
      <w:spacing w:before="100" w:beforeAutospacing="1" w:after="100" w:afterAutospacing="1" w:line="360" w:lineRule="auto"/>
      <w:ind w:left="788" w:hanging="431"/>
    </w:pPr>
    <w:rPr>
      <w:lang w:val="es-ES"/>
    </w:rPr>
  </w:style>
  <w:style w:type="character" w:customStyle="1" w:styleId="ListParagraphChar">
    <w:name w:val="List Paragraph Char"/>
    <w:aliases w:val="Llista Nivell1 Char,Lista de nivel 1 Char,Paragraphe de liste PBLH Char,Bullet Points Char,Liste Paragraf Char"/>
    <w:basedOn w:val="DefaultParagraphFont"/>
    <w:link w:val="ListParagraph"/>
    <w:uiPriority w:val="99"/>
    <w:rsid w:val="00EE1E3C"/>
    <w:rPr>
      <w:sz w:val="20"/>
      <w:szCs w:val="20"/>
    </w:rPr>
  </w:style>
  <w:style w:type="character" w:customStyle="1" w:styleId="CERCEDILLA1Car">
    <w:name w:val="CERCEDILLA 1 Car"/>
    <w:basedOn w:val="ListParagraphChar"/>
    <w:link w:val="CERCEDILLA1"/>
    <w:uiPriority w:val="99"/>
    <w:rsid w:val="00EE1E3C"/>
    <w:rPr>
      <w:rFonts w:ascii="Arial" w:eastAsia="Times New Roman" w:hAnsi="Arial" w:cs="Arial"/>
      <w:b/>
      <w:bCs/>
      <w:color w:val="323232"/>
    </w:rPr>
  </w:style>
  <w:style w:type="paragraph" w:customStyle="1" w:styleId="CERCEDILLA3">
    <w:name w:val="CERCEDILLA 3"/>
    <w:basedOn w:val="ListParagraph"/>
    <w:link w:val="CERCEDILLA3Car"/>
    <w:uiPriority w:val="99"/>
    <w:rsid w:val="00EE1E3C"/>
    <w:pPr>
      <w:numPr>
        <w:ilvl w:val="2"/>
        <w:numId w:val="2"/>
      </w:numPr>
      <w:spacing w:before="0" w:after="0"/>
      <w:ind w:left="1418" w:hanging="698"/>
    </w:pPr>
    <w:rPr>
      <w:rFonts w:ascii="Arial" w:hAnsi="Arial" w:cs="Arial"/>
      <w:sz w:val="20"/>
      <w:szCs w:val="20"/>
    </w:rPr>
  </w:style>
  <w:style w:type="character" w:customStyle="1" w:styleId="CERCEDILLA2Car">
    <w:name w:val="CERCEDILLA 2 Car"/>
    <w:basedOn w:val="ListParagraphChar"/>
    <w:link w:val="CERCEDILLA2"/>
    <w:uiPriority w:val="99"/>
    <w:rsid w:val="00CB3E2F"/>
    <w:rPr>
      <w:rFonts w:eastAsia="Times New Roman"/>
      <w:lang w:val="es-ES"/>
    </w:rPr>
  </w:style>
  <w:style w:type="paragraph" w:customStyle="1" w:styleId="CERCEDILLA4">
    <w:name w:val="CERCEDILLA 4"/>
    <w:basedOn w:val="ListParagraph"/>
    <w:link w:val="CERCEDILLA4Car"/>
    <w:uiPriority w:val="99"/>
    <w:rsid w:val="00EE1E3C"/>
    <w:pPr>
      <w:numPr>
        <w:ilvl w:val="3"/>
        <w:numId w:val="2"/>
      </w:numPr>
      <w:spacing w:before="0" w:after="0"/>
    </w:pPr>
    <w:rPr>
      <w:rFonts w:ascii="Arial" w:hAnsi="Arial" w:cs="Arial"/>
      <w:sz w:val="20"/>
      <w:szCs w:val="20"/>
    </w:rPr>
  </w:style>
  <w:style w:type="character" w:customStyle="1" w:styleId="CERCEDILLA3Car">
    <w:name w:val="CERCEDILLA 3 Car"/>
    <w:basedOn w:val="ListParagraphChar"/>
    <w:link w:val="CERCEDILLA3"/>
    <w:uiPriority w:val="99"/>
    <w:rsid w:val="00EE1E3C"/>
    <w:rPr>
      <w:rFonts w:ascii="Arial" w:eastAsia="Times New Roman" w:hAnsi="Arial" w:cs="Arial"/>
    </w:rPr>
  </w:style>
  <w:style w:type="character" w:customStyle="1" w:styleId="CERCEDILLA4Car">
    <w:name w:val="CERCEDILLA 4 Car"/>
    <w:basedOn w:val="ListParagraphChar"/>
    <w:link w:val="CERCEDILLA4"/>
    <w:uiPriority w:val="99"/>
    <w:rsid w:val="00EE1E3C"/>
    <w:rPr>
      <w:rFonts w:ascii="Arial" w:eastAsia="Times New Roman" w:hAnsi="Arial" w:cs="Arial"/>
    </w:rPr>
  </w:style>
  <w:style w:type="paragraph" w:styleId="TOC5">
    <w:name w:val="toc 5"/>
    <w:basedOn w:val="Normal"/>
    <w:next w:val="Normal"/>
    <w:autoRedefine/>
    <w:uiPriority w:val="99"/>
    <w:semiHidden/>
    <w:rsid w:val="00193391"/>
    <w:pPr>
      <w:spacing w:before="0" w:after="100"/>
      <w:ind w:left="880"/>
    </w:pPr>
    <w:rPr>
      <w:lang w:eastAsia="zh-TW"/>
    </w:rPr>
  </w:style>
  <w:style w:type="paragraph" w:styleId="TOC6">
    <w:name w:val="toc 6"/>
    <w:basedOn w:val="Normal"/>
    <w:next w:val="Normal"/>
    <w:autoRedefine/>
    <w:uiPriority w:val="99"/>
    <w:semiHidden/>
    <w:rsid w:val="00193391"/>
    <w:pPr>
      <w:spacing w:before="0" w:after="100"/>
      <w:ind w:left="1100"/>
    </w:pPr>
    <w:rPr>
      <w:lang w:eastAsia="zh-TW"/>
    </w:rPr>
  </w:style>
  <w:style w:type="paragraph" w:styleId="TOC7">
    <w:name w:val="toc 7"/>
    <w:basedOn w:val="Normal"/>
    <w:next w:val="Normal"/>
    <w:autoRedefine/>
    <w:uiPriority w:val="99"/>
    <w:semiHidden/>
    <w:rsid w:val="00193391"/>
    <w:pPr>
      <w:spacing w:before="0" w:after="100"/>
      <w:ind w:left="1320"/>
    </w:pPr>
    <w:rPr>
      <w:lang w:eastAsia="zh-TW"/>
    </w:rPr>
  </w:style>
  <w:style w:type="paragraph" w:styleId="TOC8">
    <w:name w:val="toc 8"/>
    <w:basedOn w:val="Normal"/>
    <w:next w:val="Normal"/>
    <w:autoRedefine/>
    <w:uiPriority w:val="99"/>
    <w:semiHidden/>
    <w:rsid w:val="00193391"/>
    <w:pPr>
      <w:spacing w:before="0" w:after="100"/>
      <w:ind w:left="1540"/>
    </w:pPr>
    <w:rPr>
      <w:lang w:eastAsia="zh-TW"/>
    </w:rPr>
  </w:style>
  <w:style w:type="paragraph" w:styleId="TOC9">
    <w:name w:val="toc 9"/>
    <w:basedOn w:val="Normal"/>
    <w:next w:val="Normal"/>
    <w:autoRedefine/>
    <w:uiPriority w:val="99"/>
    <w:semiHidden/>
    <w:rsid w:val="00193391"/>
    <w:pPr>
      <w:spacing w:before="0" w:after="100"/>
      <w:ind w:left="1760"/>
    </w:pPr>
    <w:rPr>
      <w:lang w:eastAsia="zh-TW"/>
    </w:rPr>
  </w:style>
  <w:style w:type="paragraph" w:styleId="FootnoteText">
    <w:name w:val="footnote text"/>
    <w:basedOn w:val="Normal"/>
    <w:link w:val="FootnoteTextChar"/>
    <w:uiPriority w:val="99"/>
    <w:semiHidden/>
    <w:rsid w:val="00193391"/>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193391"/>
    <w:rPr>
      <w:rFonts w:ascii="Trebuchet MS" w:hAnsi="Trebuchet MS" w:cs="Trebuchet MS"/>
    </w:rPr>
  </w:style>
  <w:style w:type="character" w:styleId="FootnoteReference">
    <w:name w:val="footnote reference"/>
    <w:basedOn w:val="DefaultParagraphFont"/>
    <w:uiPriority w:val="99"/>
    <w:semiHidden/>
    <w:rsid w:val="00193391"/>
    <w:rPr>
      <w:vertAlign w:val="superscript"/>
    </w:rPr>
  </w:style>
  <w:style w:type="paragraph" w:styleId="BodyText">
    <w:name w:val="Body Text"/>
    <w:basedOn w:val="Normal"/>
    <w:link w:val="BodyTextChar"/>
    <w:uiPriority w:val="99"/>
    <w:rsid w:val="00EA3BA8"/>
    <w:pPr>
      <w:spacing w:after="0" w:line="360" w:lineRule="auto"/>
    </w:pPr>
    <w:rPr>
      <w:rFonts w:ascii="Univers" w:hAnsi="Univers" w:cs="Univers"/>
      <w:lang w:val="es-ES_tradnl"/>
    </w:rPr>
  </w:style>
  <w:style w:type="character" w:customStyle="1" w:styleId="BodyTextChar">
    <w:name w:val="Body Text Char"/>
    <w:basedOn w:val="DefaultParagraphFont"/>
    <w:link w:val="BodyText"/>
    <w:uiPriority w:val="99"/>
    <w:rsid w:val="00EA3BA8"/>
    <w:rPr>
      <w:rFonts w:ascii="Univers" w:hAnsi="Univers" w:cs="Univers"/>
      <w:sz w:val="22"/>
      <w:szCs w:val="22"/>
      <w:lang w:val="es-ES_tradnl"/>
    </w:rPr>
  </w:style>
  <w:style w:type="paragraph" w:styleId="Caption">
    <w:name w:val="caption"/>
    <w:basedOn w:val="Normal"/>
    <w:next w:val="Normal"/>
    <w:uiPriority w:val="99"/>
    <w:qFormat/>
    <w:rsid w:val="0055096B"/>
    <w:rPr>
      <w:b/>
      <w:bCs/>
      <w:color w:val="B35E06"/>
      <w:sz w:val="16"/>
      <w:szCs w:val="16"/>
    </w:rPr>
  </w:style>
  <w:style w:type="paragraph" w:styleId="Title">
    <w:name w:val="Title"/>
    <w:basedOn w:val="Normal"/>
    <w:next w:val="Normal"/>
    <w:link w:val="TitleChar"/>
    <w:uiPriority w:val="99"/>
    <w:qFormat/>
    <w:rsid w:val="0055096B"/>
    <w:pPr>
      <w:spacing w:before="720"/>
    </w:pPr>
    <w:rPr>
      <w:caps/>
      <w:color w:val="F07F09"/>
      <w:spacing w:val="10"/>
      <w:kern w:val="28"/>
      <w:sz w:val="52"/>
      <w:szCs w:val="52"/>
    </w:rPr>
  </w:style>
  <w:style w:type="character" w:customStyle="1" w:styleId="TitleChar">
    <w:name w:val="Title Char"/>
    <w:basedOn w:val="DefaultParagraphFont"/>
    <w:link w:val="Title"/>
    <w:uiPriority w:val="99"/>
    <w:rsid w:val="0055096B"/>
    <w:rPr>
      <w:caps/>
      <w:color w:val="F07F09"/>
      <w:spacing w:val="10"/>
      <w:kern w:val="28"/>
      <w:sz w:val="52"/>
      <w:szCs w:val="52"/>
    </w:rPr>
  </w:style>
  <w:style w:type="paragraph" w:styleId="Subtitle">
    <w:name w:val="Subtitle"/>
    <w:basedOn w:val="Normal"/>
    <w:next w:val="Normal"/>
    <w:link w:val="SubtitleChar"/>
    <w:uiPriority w:val="99"/>
    <w:qFormat/>
    <w:rsid w:val="0055096B"/>
    <w:pPr>
      <w:spacing w:after="1000" w:line="240" w:lineRule="auto"/>
    </w:pPr>
    <w:rPr>
      <w:caps/>
      <w:color w:val="595959"/>
      <w:spacing w:val="10"/>
      <w:sz w:val="24"/>
      <w:szCs w:val="24"/>
    </w:rPr>
  </w:style>
  <w:style w:type="character" w:customStyle="1" w:styleId="SubtitleChar">
    <w:name w:val="Subtitle Char"/>
    <w:basedOn w:val="DefaultParagraphFont"/>
    <w:link w:val="Subtitle"/>
    <w:uiPriority w:val="99"/>
    <w:rsid w:val="0055096B"/>
    <w:rPr>
      <w:caps/>
      <w:color w:val="595959"/>
      <w:spacing w:val="10"/>
      <w:sz w:val="24"/>
      <w:szCs w:val="24"/>
    </w:rPr>
  </w:style>
  <w:style w:type="character" w:styleId="Strong">
    <w:name w:val="Strong"/>
    <w:basedOn w:val="DefaultParagraphFont"/>
    <w:uiPriority w:val="99"/>
    <w:qFormat/>
    <w:rsid w:val="0055096B"/>
    <w:rPr>
      <w:b/>
      <w:bCs/>
    </w:rPr>
  </w:style>
  <w:style w:type="character" w:styleId="Emphasis">
    <w:name w:val="Emphasis"/>
    <w:basedOn w:val="DefaultParagraphFont"/>
    <w:uiPriority w:val="99"/>
    <w:qFormat/>
    <w:rsid w:val="0055096B"/>
    <w:rPr>
      <w:caps/>
      <w:color w:val="auto"/>
      <w:spacing w:val="5"/>
    </w:rPr>
  </w:style>
  <w:style w:type="paragraph" w:styleId="Quote">
    <w:name w:val="Quote"/>
    <w:basedOn w:val="Normal"/>
    <w:next w:val="Normal"/>
    <w:link w:val="QuoteChar"/>
    <w:uiPriority w:val="99"/>
    <w:qFormat/>
    <w:rsid w:val="0055096B"/>
    <w:rPr>
      <w:i/>
      <w:iCs/>
    </w:rPr>
  </w:style>
  <w:style w:type="character" w:customStyle="1" w:styleId="QuoteChar">
    <w:name w:val="Quote Char"/>
    <w:basedOn w:val="DefaultParagraphFont"/>
    <w:link w:val="Quote"/>
    <w:uiPriority w:val="99"/>
    <w:rsid w:val="0055096B"/>
    <w:rPr>
      <w:i/>
      <w:iCs/>
      <w:sz w:val="20"/>
      <w:szCs w:val="20"/>
    </w:rPr>
  </w:style>
  <w:style w:type="paragraph" w:styleId="IntenseQuote">
    <w:name w:val="Intense Quote"/>
    <w:basedOn w:val="Normal"/>
    <w:next w:val="Normal"/>
    <w:link w:val="IntenseQuoteChar"/>
    <w:uiPriority w:val="99"/>
    <w:qFormat/>
    <w:rsid w:val="0055096B"/>
    <w:pPr>
      <w:pBdr>
        <w:top w:val="single" w:sz="4" w:space="10" w:color="F07F09"/>
        <w:left w:val="single" w:sz="4" w:space="10" w:color="F07F09"/>
      </w:pBdr>
      <w:spacing w:after="0"/>
      <w:ind w:left="1296" w:right="1152"/>
    </w:pPr>
    <w:rPr>
      <w:i/>
      <w:iCs/>
      <w:color w:val="F07F09"/>
    </w:rPr>
  </w:style>
  <w:style w:type="character" w:customStyle="1" w:styleId="IntenseQuoteChar">
    <w:name w:val="Intense Quote Char"/>
    <w:basedOn w:val="DefaultParagraphFont"/>
    <w:link w:val="IntenseQuote"/>
    <w:uiPriority w:val="99"/>
    <w:rsid w:val="0055096B"/>
    <w:rPr>
      <w:i/>
      <w:iCs/>
      <w:color w:val="F07F09"/>
      <w:sz w:val="20"/>
      <w:szCs w:val="20"/>
    </w:rPr>
  </w:style>
  <w:style w:type="character" w:styleId="SubtleEmphasis">
    <w:name w:val="Subtle Emphasis"/>
    <w:basedOn w:val="DefaultParagraphFont"/>
    <w:uiPriority w:val="99"/>
    <w:qFormat/>
    <w:rsid w:val="0055096B"/>
    <w:rPr>
      <w:i/>
      <w:iCs/>
      <w:color w:val="auto"/>
    </w:rPr>
  </w:style>
  <w:style w:type="character" w:styleId="IntenseEmphasis">
    <w:name w:val="Intense Emphasis"/>
    <w:basedOn w:val="DefaultParagraphFont"/>
    <w:uiPriority w:val="99"/>
    <w:qFormat/>
    <w:rsid w:val="0055096B"/>
    <w:rPr>
      <w:b/>
      <w:bCs/>
      <w:caps/>
      <w:color w:val="auto"/>
      <w:spacing w:val="10"/>
    </w:rPr>
  </w:style>
  <w:style w:type="character" w:styleId="SubtleReference">
    <w:name w:val="Subtle Reference"/>
    <w:basedOn w:val="DefaultParagraphFont"/>
    <w:uiPriority w:val="99"/>
    <w:qFormat/>
    <w:rsid w:val="0055096B"/>
    <w:rPr>
      <w:b/>
      <w:bCs/>
      <w:color w:val="F07F09"/>
    </w:rPr>
  </w:style>
  <w:style w:type="character" w:styleId="IntenseReference">
    <w:name w:val="Intense Reference"/>
    <w:basedOn w:val="DefaultParagraphFont"/>
    <w:uiPriority w:val="99"/>
    <w:qFormat/>
    <w:rsid w:val="0055096B"/>
    <w:rPr>
      <w:b/>
      <w:bCs/>
      <w:i/>
      <w:iCs/>
      <w:caps/>
      <w:color w:val="F07F09"/>
    </w:rPr>
  </w:style>
  <w:style w:type="character" w:styleId="BookTitle">
    <w:name w:val="Book Title"/>
    <w:basedOn w:val="DefaultParagraphFont"/>
    <w:uiPriority w:val="99"/>
    <w:qFormat/>
    <w:rsid w:val="0055096B"/>
    <w:rPr>
      <w:b/>
      <w:bCs/>
      <w:i/>
      <w:iCs/>
      <w:spacing w:val="9"/>
    </w:rPr>
  </w:style>
  <w:style w:type="character" w:customStyle="1" w:styleId="Estilo1Car">
    <w:name w:val="Estilo1 Car"/>
    <w:basedOn w:val="ListParagraphChar"/>
    <w:uiPriority w:val="99"/>
    <w:rsid w:val="009C6E19"/>
    <w:rPr>
      <w:rFonts w:ascii="Trebuchet MS" w:hAnsi="Trebuchet MS" w:cs="Trebuchet MS"/>
      <w:sz w:val="24"/>
      <w:szCs w:val="24"/>
    </w:rPr>
  </w:style>
  <w:style w:type="paragraph" w:customStyle="1" w:styleId="Tabla">
    <w:name w:val="Tabla"/>
    <w:basedOn w:val="Caption"/>
    <w:uiPriority w:val="99"/>
    <w:rsid w:val="001E79F0"/>
    <w:pPr>
      <w:numPr>
        <w:numId w:val="6"/>
      </w:numPr>
      <w:spacing w:before="60" w:after="360" w:line="240" w:lineRule="auto"/>
    </w:pPr>
    <w:rPr>
      <w:b w:val="0"/>
      <w:bCs w:val="0"/>
      <w:sz w:val="18"/>
      <w:szCs w:val="18"/>
      <w:lang w:val="es-ES"/>
    </w:rPr>
  </w:style>
  <w:style w:type="paragraph" w:styleId="TableofFigures">
    <w:name w:val="table of figures"/>
    <w:basedOn w:val="Normal"/>
    <w:next w:val="Normal"/>
    <w:autoRedefine/>
    <w:uiPriority w:val="99"/>
    <w:semiHidden/>
    <w:rsid w:val="003311A8"/>
    <w:pPr>
      <w:tabs>
        <w:tab w:val="left" w:pos="1100"/>
        <w:tab w:val="right" w:leader="dot" w:pos="9060"/>
      </w:tabs>
      <w:spacing w:after="0"/>
      <w:ind w:left="1134" w:hanging="1134"/>
    </w:pPr>
    <w:rPr>
      <w:lang w:val="es-ES"/>
    </w:rPr>
  </w:style>
  <w:style w:type="paragraph" w:customStyle="1" w:styleId="Figuras">
    <w:name w:val="Figuras"/>
    <w:basedOn w:val="Normal"/>
    <w:next w:val="Normal"/>
    <w:autoRedefine/>
    <w:uiPriority w:val="99"/>
    <w:rsid w:val="00A606E9"/>
    <w:pPr>
      <w:numPr>
        <w:numId w:val="7"/>
      </w:numPr>
      <w:spacing w:before="0"/>
      <w:ind w:left="284" w:firstLine="76"/>
      <w:jc w:val="center"/>
    </w:pPr>
    <w:rPr>
      <w:noProof/>
      <w:sz w:val="20"/>
      <w:szCs w:val="20"/>
      <w:lang w:val="es-ES"/>
    </w:rPr>
  </w:style>
  <w:style w:type="paragraph" w:customStyle="1" w:styleId="Tablas">
    <w:name w:val="Tablas"/>
    <w:basedOn w:val="Tabla"/>
    <w:uiPriority w:val="99"/>
    <w:rsid w:val="0091380C"/>
    <w:pPr>
      <w:numPr>
        <w:numId w:val="0"/>
      </w:numPr>
      <w:spacing w:before="200"/>
    </w:pPr>
    <w:rPr>
      <w:color w:val="auto"/>
      <w:sz w:val="20"/>
      <w:szCs w:val="20"/>
    </w:rPr>
  </w:style>
  <w:style w:type="paragraph" w:customStyle="1" w:styleId="Tablas1">
    <w:name w:val="Tablas1"/>
    <w:basedOn w:val="Tabla"/>
    <w:next w:val="Tablas"/>
    <w:uiPriority w:val="99"/>
    <w:rsid w:val="00840524"/>
    <w:pPr>
      <w:numPr>
        <w:numId w:val="8"/>
      </w:numPr>
      <w:spacing w:before="200" w:after="200"/>
      <w:jc w:val="center"/>
    </w:pPr>
    <w:rPr>
      <w:color w:val="auto"/>
      <w:sz w:val="20"/>
      <w:szCs w:val="20"/>
    </w:rPr>
  </w:style>
  <w:style w:type="paragraph" w:styleId="DocumentMap">
    <w:name w:val="Document Map"/>
    <w:basedOn w:val="Normal"/>
    <w:link w:val="DocumentMapChar"/>
    <w:uiPriority w:val="99"/>
    <w:semiHidden/>
    <w:rsid w:val="00B000D5"/>
    <w:pPr>
      <w:spacing w:before="0"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000D5"/>
    <w:rPr>
      <w:rFonts w:ascii="Lucida Grande" w:hAnsi="Lucida Grande" w:cs="Lucida Grande"/>
      <w:sz w:val="24"/>
      <w:szCs w:val="24"/>
    </w:rPr>
  </w:style>
  <w:style w:type="paragraph" w:styleId="Revision">
    <w:name w:val="Revision"/>
    <w:hidden/>
    <w:uiPriority w:val="99"/>
    <w:semiHidden/>
    <w:rsid w:val="00F104B9"/>
    <w:rPr>
      <w:rFonts w:cs="Calibri"/>
      <w:lang w:val="en-US" w:eastAsia="en-US"/>
    </w:rPr>
  </w:style>
  <w:style w:type="character" w:styleId="FollowedHyperlink">
    <w:name w:val="FollowedHyperlink"/>
    <w:basedOn w:val="DefaultParagraphFont"/>
    <w:uiPriority w:val="99"/>
    <w:semiHidden/>
    <w:rsid w:val="009E6B5E"/>
    <w:rPr>
      <w:color w:val="323232"/>
      <w:u w:val="single"/>
    </w:rPr>
  </w:style>
  <w:style w:type="numbering" w:customStyle="1" w:styleId="Estilo2">
    <w:name w:val="Estilo2"/>
    <w:rsid w:val="00C709BF"/>
    <w:pPr>
      <w:numPr>
        <w:numId w:val="3"/>
      </w:numPr>
    </w:pPr>
  </w:style>
  <w:style w:type="numbering" w:customStyle="1" w:styleId="Estilo1">
    <w:name w:val="Estilo1"/>
    <w:rsid w:val="00C709BF"/>
    <w:pPr>
      <w:numPr>
        <w:numId w:val="4"/>
      </w:numPr>
    </w:pPr>
  </w:style>
</w:styles>
</file>

<file path=word/webSettings.xml><?xml version="1.0" encoding="utf-8"?>
<w:webSettings xmlns:r="http://schemas.openxmlformats.org/officeDocument/2006/relationships" xmlns:w="http://schemas.openxmlformats.org/wordprocessingml/2006/main">
  <w:divs>
    <w:div w:id="344677950">
      <w:marLeft w:val="0"/>
      <w:marRight w:val="0"/>
      <w:marTop w:val="0"/>
      <w:marBottom w:val="0"/>
      <w:divBdr>
        <w:top w:val="none" w:sz="0" w:space="0" w:color="auto"/>
        <w:left w:val="none" w:sz="0" w:space="0" w:color="auto"/>
        <w:bottom w:val="none" w:sz="0" w:space="0" w:color="auto"/>
        <w:right w:val="none" w:sz="0" w:space="0" w:color="auto"/>
      </w:divBdr>
      <w:divsChild>
        <w:div w:id="344677952">
          <w:marLeft w:val="418"/>
          <w:marRight w:val="0"/>
          <w:marTop w:val="0"/>
          <w:marBottom w:val="0"/>
          <w:divBdr>
            <w:top w:val="none" w:sz="0" w:space="0" w:color="auto"/>
            <w:left w:val="none" w:sz="0" w:space="0" w:color="auto"/>
            <w:bottom w:val="none" w:sz="0" w:space="0" w:color="auto"/>
            <w:right w:val="none" w:sz="0" w:space="0" w:color="auto"/>
          </w:divBdr>
        </w:div>
        <w:div w:id="344677957">
          <w:marLeft w:val="418"/>
          <w:marRight w:val="0"/>
          <w:marTop w:val="0"/>
          <w:marBottom w:val="0"/>
          <w:divBdr>
            <w:top w:val="none" w:sz="0" w:space="0" w:color="auto"/>
            <w:left w:val="none" w:sz="0" w:space="0" w:color="auto"/>
            <w:bottom w:val="none" w:sz="0" w:space="0" w:color="auto"/>
            <w:right w:val="none" w:sz="0" w:space="0" w:color="auto"/>
          </w:divBdr>
        </w:div>
        <w:div w:id="344677992">
          <w:marLeft w:val="418"/>
          <w:marRight w:val="0"/>
          <w:marTop w:val="0"/>
          <w:marBottom w:val="0"/>
          <w:divBdr>
            <w:top w:val="none" w:sz="0" w:space="0" w:color="auto"/>
            <w:left w:val="none" w:sz="0" w:space="0" w:color="auto"/>
            <w:bottom w:val="none" w:sz="0" w:space="0" w:color="auto"/>
            <w:right w:val="none" w:sz="0" w:space="0" w:color="auto"/>
          </w:divBdr>
        </w:div>
        <w:div w:id="344678042">
          <w:marLeft w:val="418"/>
          <w:marRight w:val="0"/>
          <w:marTop w:val="0"/>
          <w:marBottom w:val="0"/>
          <w:divBdr>
            <w:top w:val="none" w:sz="0" w:space="0" w:color="auto"/>
            <w:left w:val="none" w:sz="0" w:space="0" w:color="auto"/>
            <w:bottom w:val="none" w:sz="0" w:space="0" w:color="auto"/>
            <w:right w:val="none" w:sz="0" w:space="0" w:color="auto"/>
          </w:divBdr>
        </w:div>
      </w:divsChild>
    </w:div>
    <w:div w:id="344677953">
      <w:marLeft w:val="0"/>
      <w:marRight w:val="0"/>
      <w:marTop w:val="0"/>
      <w:marBottom w:val="0"/>
      <w:divBdr>
        <w:top w:val="none" w:sz="0" w:space="0" w:color="auto"/>
        <w:left w:val="none" w:sz="0" w:space="0" w:color="auto"/>
        <w:bottom w:val="none" w:sz="0" w:space="0" w:color="auto"/>
        <w:right w:val="none" w:sz="0" w:space="0" w:color="auto"/>
      </w:divBdr>
      <w:divsChild>
        <w:div w:id="344677971">
          <w:marLeft w:val="446"/>
          <w:marRight w:val="0"/>
          <w:marTop w:val="80"/>
          <w:marBottom w:val="80"/>
          <w:divBdr>
            <w:top w:val="none" w:sz="0" w:space="0" w:color="auto"/>
            <w:left w:val="none" w:sz="0" w:space="0" w:color="auto"/>
            <w:bottom w:val="none" w:sz="0" w:space="0" w:color="auto"/>
            <w:right w:val="none" w:sz="0" w:space="0" w:color="auto"/>
          </w:divBdr>
        </w:div>
        <w:div w:id="344677972">
          <w:marLeft w:val="446"/>
          <w:marRight w:val="0"/>
          <w:marTop w:val="80"/>
          <w:marBottom w:val="80"/>
          <w:divBdr>
            <w:top w:val="none" w:sz="0" w:space="0" w:color="auto"/>
            <w:left w:val="none" w:sz="0" w:space="0" w:color="auto"/>
            <w:bottom w:val="none" w:sz="0" w:space="0" w:color="auto"/>
            <w:right w:val="none" w:sz="0" w:space="0" w:color="auto"/>
          </w:divBdr>
        </w:div>
        <w:div w:id="344678004">
          <w:marLeft w:val="446"/>
          <w:marRight w:val="0"/>
          <w:marTop w:val="80"/>
          <w:marBottom w:val="80"/>
          <w:divBdr>
            <w:top w:val="none" w:sz="0" w:space="0" w:color="auto"/>
            <w:left w:val="none" w:sz="0" w:space="0" w:color="auto"/>
            <w:bottom w:val="none" w:sz="0" w:space="0" w:color="auto"/>
            <w:right w:val="none" w:sz="0" w:space="0" w:color="auto"/>
          </w:divBdr>
        </w:div>
        <w:div w:id="344678008">
          <w:marLeft w:val="446"/>
          <w:marRight w:val="0"/>
          <w:marTop w:val="80"/>
          <w:marBottom w:val="80"/>
          <w:divBdr>
            <w:top w:val="none" w:sz="0" w:space="0" w:color="auto"/>
            <w:left w:val="none" w:sz="0" w:space="0" w:color="auto"/>
            <w:bottom w:val="none" w:sz="0" w:space="0" w:color="auto"/>
            <w:right w:val="none" w:sz="0" w:space="0" w:color="auto"/>
          </w:divBdr>
        </w:div>
        <w:div w:id="344678016">
          <w:marLeft w:val="446"/>
          <w:marRight w:val="0"/>
          <w:marTop w:val="80"/>
          <w:marBottom w:val="80"/>
          <w:divBdr>
            <w:top w:val="none" w:sz="0" w:space="0" w:color="auto"/>
            <w:left w:val="none" w:sz="0" w:space="0" w:color="auto"/>
            <w:bottom w:val="none" w:sz="0" w:space="0" w:color="auto"/>
            <w:right w:val="none" w:sz="0" w:space="0" w:color="auto"/>
          </w:divBdr>
        </w:div>
        <w:div w:id="344678018">
          <w:marLeft w:val="446"/>
          <w:marRight w:val="0"/>
          <w:marTop w:val="80"/>
          <w:marBottom w:val="80"/>
          <w:divBdr>
            <w:top w:val="none" w:sz="0" w:space="0" w:color="auto"/>
            <w:left w:val="none" w:sz="0" w:space="0" w:color="auto"/>
            <w:bottom w:val="none" w:sz="0" w:space="0" w:color="auto"/>
            <w:right w:val="none" w:sz="0" w:space="0" w:color="auto"/>
          </w:divBdr>
        </w:div>
        <w:div w:id="344678028">
          <w:marLeft w:val="446"/>
          <w:marRight w:val="0"/>
          <w:marTop w:val="80"/>
          <w:marBottom w:val="80"/>
          <w:divBdr>
            <w:top w:val="none" w:sz="0" w:space="0" w:color="auto"/>
            <w:left w:val="none" w:sz="0" w:space="0" w:color="auto"/>
            <w:bottom w:val="none" w:sz="0" w:space="0" w:color="auto"/>
            <w:right w:val="none" w:sz="0" w:space="0" w:color="auto"/>
          </w:divBdr>
        </w:div>
        <w:div w:id="344678033">
          <w:marLeft w:val="446"/>
          <w:marRight w:val="0"/>
          <w:marTop w:val="80"/>
          <w:marBottom w:val="80"/>
          <w:divBdr>
            <w:top w:val="none" w:sz="0" w:space="0" w:color="auto"/>
            <w:left w:val="none" w:sz="0" w:space="0" w:color="auto"/>
            <w:bottom w:val="none" w:sz="0" w:space="0" w:color="auto"/>
            <w:right w:val="none" w:sz="0" w:space="0" w:color="auto"/>
          </w:divBdr>
        </w:div>
        <w:div w:id="344678040">
          <w:marLeft w:val="446"/>
          <w:marRight w:val="0"/>
          <w:marTop w:val="80"/>
          <w:marBottom w:val="80"/>
          <w:divBdr>
            <w:top w:val="none" w:sz="0" w:space="0" w:color="auto"/>
            <w:left w:val="none" w:sz="0" w:space="0" w:color="auto"/>
            <w:bottom w:val="none" w:sz="0" w:space="0" w:color="auto"/>
            <w:right w:val="none" w:sz="0" w:space="0" w:color="auto"/>
          </w:divBdr>
        </w:div>
      </w:divsChild>
    </w:div>
    <w:div w:id="344677966">
      <w:marLeft w:val="0"/>
      <w:marRight w:val="0"/>
      <w:marTop w:val="0"/>
      <w:marBottom w:val="0"/>
      <w:divBdr>
        <w:top w:val="none" w:sz="0" w:space="0" w:color="auto"/>
        <w:left w:val="none" w:sz="0" w:space="0" w:color="auto"/>
        <w:bottom w:val="none" w:sz="0" w:space="0" w:color="auto"/>
        <w:right w:val="none" w:sz="0" w:space="0" w:color="auto"/>
      </w:divBdr>
      <w:divsChild>
        <w:div w:id="344677962">
          <w:marLeft w:val="547"/>
          <w:marRight w:val="0"/>
          <w:marTop w:val="120"/>
          <w:marBottom w:val="120"/>
          <w:divBdr>
            <w:top w:val="none" w:sz="0" w:space="0" w:color="auto"/>
            <w:left w:val="none" w:sz="0" w:space="0" w:color="auto"/>
            <w:bottom w:val="none" w:sz="0" w:space="0" w:color="auto"/>
            <w:right w:val="none" w:sz="0" w:space="0" w:color="auto"/>
          </w:divBdr>
        </w:div>
        <w:div w:id="344677967">
          <w:marLeft w:val="547"/>
          <w:marRight w:val="0"/>
          <w:marTop w:val="120"/>
          <w:marBottom w:val="120"/>
          <w:divBdr>
            <w:top w:val="none" w:sz="0" w:space="0" w:color="auto"/>
            <w:left w:val="none" w:sz="0" w:space="0" w:color="auto"/>
            <w:bottom w:val="none" w:sz="0" w:space="0" w:color="auto"/>
            <w:right w:val="none" w:sz="0" w:space="0" w:color="auto"/>
          </w:divBdr>
        </w:div>
        <w:div w:id="344678003">
          <w:marLeft w:val="547"/>
          <w:marRight w:val="0"/>
          <w:marTop w:val="120"/>
          <w:marBottom w:val="120"/>
          <w:divBdr>
            <w:top w:val="none" w:sz="0" w:space="0" w:color="auto"/>
            <w:left w:val="none" w:sz="0" w:space="0" w:color="auto"/>
            <w:bottom w:val="none" w:sz="0" w:space="0" w:color="auto"/>
            <w:right w:val="none" w:sz="0" w:space="0" w:color="auto"/>
          </w:divBdr>
        </w:div>
        <w:div w:id="344678021">
          <w:marLeft w:val="547"/>
          <w:marRight w:val="0"/>
          <w:marTop w:val="120"/>
          <w:marBottom w:val="120"/>
          <w:divBdr>
            <w:top w:val="none" w:sz="0" w:space="0" w:color="auto"/>
            <w:left w:val="none" w:sz="0" w:space="0" w:color="auto"/>
            <w:bottom w:val="none" w:sz="0" w:space="0" w:color="auto"/>
            <w:right w:val="none" w:sz="0" w:space="0" w:color="auto"/>
          </w:divBdr>
        </w:div>
        <w:div w:id="344678023">
          <w:marLeft w:val="547"/>
          <w:marRight w:val="0"/>
          <w:marTop w:val="120"/>
          <w:marBottom w:val="120"/>
          <w:divBdr>
            <w:top w:val="none" w:sz="0" w:space="0" w:color="auto"/>
            <w:left w:val="none" w:sz="0" w:space="0" w:color="auto"/>
            <w:bottom w:val="none" w:sz="0" w:space="0" w:color="auto"/>
            <w:right w:val="none" w:sz="0" w:space="0" w:color="auto"/>
          </w:divBdr>
        </w:div>
        <w:div w:id="344678026">
          <w:marLeft w:val="547"/>
          <w:marRight w:val="0"/>
          <w:marTop w:val="120"/>
          <w:marBottom w:val="120"/>
          <w:divBdr>
            <w:top w:val="none" w:sz="0" w:space="0" w:color="auto"/>
            <w:left w:val="none" w:sz="0" w:space="0" w:color="auto"/>
            <w:bottom w:val="none" w:sz="0" w:space="0" w:color="auto"/>
            <w:right w:val="none" w:sz="0" w:space="0" w:color="auto"/>
          </w:divBdr>
        </w:div>
        <w:div w:id="344678029">
          <w:marLeft w:val="547"/>
          <w:marRight w:val="0"/>
          <w:marTop w:val="120"/>
          <w:marBottom w:val="120"/>
          <w:divBdr>
            <w:top w:val="none" w:sz="0" w:space="0" w:color="auto"/>
            <w:left w:val="none" w:sz="0" w:space="0" w:color="auto"/>
            <w:bottom w:val="none" w:sz="0" w:space="0" w:color="auto"/>
            <w:right w:val="none" w:sz="0" w:space="0" w:color="auto"/>
          </w:divBdr>
        </w:div>
        <w:div w:id="344678030">
          <w:marLeft w:val="547"/>
          <w:marRight w:val="0"/>
          <w:marTop w:val="120"/>
          <w:marBottom w:val="120"/>
          <w:divBdr>
            <w:top w:val="none" w:sz="0" w:space="0" w:color="auto"/>
            <w:left w:val="none" w:sz="0" w:space="0" w:color="auto"/>
            <w:bottom w:val="none" w:sz="0" w:space="0" w:color="auto"/>
            <w:right w:val="none" w:sz="0" w:space="0" w:color="auto"/>
          </w:divBdr>
        </w:div>
        <w:div w:id="344678031">
          <w:marLeft w:val="547"/>
          <w:marRight w:val="0"/>
          <w:marTop w:val="120"/>
          <w:marBottom w:val="120"/>
          <w:divBdr>
            <w:top w:val="none" w:sz="0" w:space="0" w:color="auto"/>
            <w:left w:val="none" w:sz="0" w:space="0" w:color="auto"/>
            <w:bottom w:val="none" w:sz="0" w:space="0" w:color="auto"/>
            <w:right w:val="none" w:sz="0" w:space="0" w:color="auto"/>
          </w:divBdr>
        </w:div>
        <w:div w:id="344678062">
          <w:marLeft w:val="547"/>
          <w:marRight w:val="0"/>
          <w:marTop w:val="120"/>
          <w:marBottom w:val="120"/>
          <w:divBdr>
            <w:top w:val="none" w:sz="0" w:space="0" w:color="auto"/>
            <w:left w:val="none" w:sz="0" w:space="0" w:color="auto"/>
            <w:bottom w:val="none" w:sz="0" w:space="0" w:color="auto"/>
            <w:right w:val="none" w:sz="0" w:space="0" w:color="auto"/>
          </w:divBdr>
        </w:div>
      </w:divsChild>
    </w:div>
    <w:div w:id="344677968">
      <w:marLeft w:val="0"/>
      <w:marRight w:val="0"/>
      <w:marTop w:val="0"/>
      <w:marBottom w:val="0"/>
      <w:divBdr>
        <w:top w:val="none" w:sz="0" w:space="0" w:color="auto"/>
        <w:left w:val="none" w:sz="0" w:space="0" w:color="auto"/>
        <w:bottom w:val="none" w:sz="0" w:space="0" w:color="auto"/>
        <w:right w:val="none" w:sz="0" w:space="0" w:color="auto"/>
      </w:divBdr>
    </w:div>
    <w:div w:id="344677969">
      <w:marLeft w:val="0"/>
      <w:marRight w:val="0"/>
      <w:marTop w:val="0"/>
      <w:marBottom w:val="0"/>
      <w:divBdr>
        <w:top w:val="none" w:sz="0" w:space="0" w:color="auto"/>
        <w:left w:val="none" w:sz="0" w:space="0" w:color="auto"/>
        <w:bottom w:val="none" w:sz="0" w:space="0" w:color="auto"/>
        <w:right w:val="none" w:sz="0" w:space="0" w:color="auto"/>
      </w:divBdr>
    </w:div>
    <w:div w:id="344677975">
      <w:marLeft w:val="0"/>
      <w:marRight w:val="0"/>
      <w:marTop w:val="0"/>
      <w:marBottom w:val="0"/>
      <w:divBdr>
        <w:top w:val="none" w:sz="0" w:space="0" w:color="auto"/>
        <w:left w:val="none" w:sz="0" w:space="0" w:color="auto"/>
        <w:bottom w:val="none" w:sz="0" w:space="0" w:color="auto"/>
        <w:right w:val="none" w:sz="0" w:space="0" w:color="auto"/>
      </w:divBdr>
    </w:div>
    <w:div w:id="344677977">
      <w:marLeft w:val="0"/>
      <w:marRight w:val="0"/>
      <w:marTop w:val="0"/>
      <w:marBottom w:val="0"/>
      <w:divBdr>
        <w:top w:val="none" w:sz="0" w:space="0" w:color="auto"/>
        <w:left w:val="none" w:sz="0" w:space="0" w:color="auto"/>
        <w:bottom w:val="none" w:sz="0" w:space="0" w:color="auto"/>
        <w:right w:val="none" w:sz="0" w:space="0" w:color="auto"/>
      </w:divBdr>
    </w:div>
    <w:div w:id="344677980">
      <w:marLeft w:val="0"/>
      <w:marRight w:val="0"/>
      <w:marTop w:val="0"/>
      <w:marBottom w:val="0"/>
      <w:divBdr>
        <w:top w:val="none" w:sz="0" w:space="0" w:color="auto"/>
        <w:left w:val="none" w:sz="0" w:space="0" w:color="auto"/>
        <w:bottom w:val="none" w:sz="0" w:space="0" w:color="auto"/>
        <w:right w:val="none" w:sz="0" w:space="0" w:color="auto"/>
      </w:divBdr>
    </w:div>
    <w:div w:id="344677983">
      <w:marLeft w:val="0"/>
      <w:marRight w:val="0"/>
      <w:marTop w:val="0"/>
      <w:marBottom w:val="0"/>
      <w:divBdr>
        <w:top w:val="none" w:sz="0" w:space="0" w:color="auto"/>
        <w:left w:val="none" w:sz="0" w:space="0" w:color="auto"/>
        <w:bottom w:val="none" w:sz="0" w:space="0" w:color="auto"/>
        <w:right w:val="none" w:sz="0" w:space="0" w:color="auto"/>
      </w:divBdr>
    </w:div>
    <w:div w:id="344677986">
      <w:marLeft w:val="0"/>
      <w:marRight w:val="0"/>
      <w:marTop w:val="0"/>
      <w:marBottom w:val="0"/>
      <w:divBdr>
        <w:top w:val="none" w:sz="0" w:space="0" w:color="auto"/>
        <w:left w:val="none" w:sz="0" w:space="0" w:color="auto"/>
        <w:bottom w:val="none" w:sz="0" w:space="0" w:color="auto"/>
        <w:right w:val="none" w:sz="0" w:space="0" w:color="auto"/>
      </w:divBdr>
      <w:divsChild>
        <w:div w:id="344677951">
          <w:marLeft w:val="547"/>
          <w:marRight w:val="0"/>
          <w:marTop w:val="120"/>
          <w:marBottom w:val="120"/>
          <w:divBdr>
            <w:top w:val="none" w:sz="0" w:space="0" w:color="auto"/>
            <w:left w:val="none" w:sz="0" w:space="0" w:color="auto"/>
            <w:bottom w:val="none" w:sz="0" w:space="0" w:color="auto"/>
            <w:right w:val="none" w:sz="0" w:space="0" w:color="auto"/>
          </w:divBdr>
        </w:div>
        <w:div w:id="344677960">
          <w:marLeft w:val="547"/>
          <w:marRight w:val="0"/>
          <w:marTop w:val="120"/>
          <w:marBottom w:val="120"/>
          <w:divBdr>
            <w:top w:val="none" w:sz="0" w:space="0" w:color="auto"/>
            <w:left w:val="none" w:sz="0" w:space="0" w:color="auto"/>
            <w:bottom w:val="none" w:sz="0" w:space="0" w:color="auto"/>
            <w:right w:val="none" w:sz="0" w:space="0" w:color="auto"/>
          </w:divBdr>
        </w:div>
        <w:div w:id="344677964">
          <w:marLeft w:val="547"/>
          <w:marRight w:val="0"/>
          <w:marTop w:val="120"/>
          <w:marBottom w:val="120"/>
          <w:divBdr>
            <w:top w:val="none" w:sz="0" w:space="0" w:color="auto"/>
            <w:left w:val="none" w:sz="0" w:space="0" w:color="auto"/>
            <w:bottom w:val="none" w:sz="0" w:space="0" w:color="auto"/>
            <w:right w:val="none" w:sz="0" w:space="0" w:color="auto"/>
          </w:divBdr>
        </w:div>
        <w:div w:id="344677976">
          <w:marLeft w:val="547"/>
          <w:marRight w:val="0"/>
          <w:marTop w:val="120"/>
          <w:marBottom w:val="120"/>
          <w:divBdr>
            <w:top w:val="none" w:sz="0" w:space="0" w:color="auto"/>
            <w:left w:val="none" w:sz="0" w:space="0" w:color="auto"/>
            <w:bottom w:val="none" w:sz="0" w:space="0" w:color="auto"/>
            <w:right w:val="none" w:sz="0" w:space="0" w:color="auto"/>
          </w:divBdr>
        </w:div>
        <w:div w:id="344677996">
          <w:marLeft w:val="547"/>
          <w:marRight w:val="0"/>
          <w:marTop w:val="120"/>
          <w:marBottom w:val="120"/>
          <w:divBdr>
            <w:top w:val="none" w:sz="0" w:space="0" w:color="auto"/>
            <w:left w:val="none" w:sz="0" w:space="0" w:color="auto"/>
            <w:bottom w:val="none" w:sz="0" w:space="0" w:color="auto"/>
            <w:right w:val="none" w:sz="0" w:space="0" w:color="auto"/>
          </w:divBdr>
        </w:div>
        <w:div w:id="344678005">
          <w:marLeft w:val="547"/>
          <w:marRight w:val="0"/>
          <w:marTop w:val="120"/>
          <w:marBottom w:val="120"/>
          <w:divBdr>
            <w:top w:val="none" w:sz="0" w:space="0" w:color="auto"/>
            <w:left w:val="none" w:sz="0" w:space="0" w:color="auto"/>
            <w:bottom w:val="none" w:sz="0" w:space="0" w:color="auto"/>
            <w:right w:val="none" w:sz="0" w:space="0" w:color="auto"/>
          </w:divBdr>
        </w:div>
        <w:div w:id="344678006">
          <w:marLeft w:val="547"/>
          <w:marRight w:val="0"/>
          <w:marTop w:val="120"/>
          <w:marBottom w:val="120"/>
          <w:divBdr>
            <w:top w:val="none" w:sz="0" w:space="0" w:color="auto"/>
            <w:left w:val="none" w:sz="0" w:space="0" w:color="auto"/>
            <w:bottom w:val="none" w:sz="0" w:space="0" w:color="auto"/>
            <w:right w:val="none" w:sz="0" w:space="0" w:color="auto"/>
          </w:divBdr>
        </w:div>
        <w:div w:id="344678024">
          <w:marLeft w:val="547"/>
          <w:marRight w:val="0"/>
          <w:marTop w:val="120"/>
          <w:marBottom w:val="120"/>
          <w:divBdr>
            <w:top w:val="none" w:sz="0" w:space="0" w:color="auto"/>
            <w:left w:val="none" w:sz="0" w:space="0" w:color="auto"/>
            <w:bottom w:val="none" w:sz="0" w:space="0" w:color="auto"/>
            <w:right w:val="none" w:sz="0" w:space="0" w:color="auto"/>
          </w:divBdr>
        </w:div>
        <w:div w:id="344678056">
          <w:marLeft w:val="547"/>
          <w:marRight w:val="0"/>
          <w:marTop w:val="120"/>
          <w:marBottom w:val="120"/>
          <w:divBdr>
            <w:top w:val="none" w:sz="0" w:space="0" w:color="auto"/>
            <w:left w:val="none" w:sz="0" w:space="0" w:color="auto"/>
            <w:bottom w:val="none" w:sz="0" w:space="0" w:color="auto"/>
            <w:right w:val="none" w:sz="0" w:space="0" w:color="auto"/>
          </w:divBdr>
        </w:div>
        <w:div w:id="344678059">
          <w:marLeft w:val="547"/>
          <w:marRight w:val="0"/>
          <w:marTop w:val="120"/>
          <w:marBottom w:val="120"/>
          <w:divBdr>
            <w:top w:val="none" w:sz="0" w:space="0" w:color="auto"/>
            <w:left w:val="none" w:sz="0" w:space="0" w:color="auto"/>
            <w:bottom w:val="none" w:sz="0" w:space="0" w:color="auto"/>
            <w:right w:val="none" w:sz="0" w:space="0" w:color="auto"/>
          </w:divBdr>
        </w:div>
        <w:div w:id="344678060">
          <w:marLeft w:val="547"/>
          <w:marRight w:val="0"/>
          <w:marTop w:val="120"/>
          <w:marBottom w:val="120"/>
          <w:divBdr>
            <w:top w:val="none" w:sz="0" w:space="0" w:color="auto"/>
            <w:left w:val="none" w:sz="0" w:space="0" w:color="auto"/>
            <w:bottom w:val="none" w:sz="0" w:space="0" w:color="auto"/>
            <w:right w:val="none" w:sz="0" w:space="0" w:color="auto"/>
          </w:divBdr>
        </w:div>
      </w:divsChild>
    </w:div>
    <w:div w:id="344677988">
      <w:marLeft w:val="0"/>
      <w:marRight w:val="0"/>
      <w:marTop w:val="0"/>
      <w:marBottom w:val="0"/>
      <w:divBdr>
        <w:top w:val="none" w:sz="0" w:space="0" w:color="auto"/>
        <w:left w:val="none" w:sz="0" w:space="0" w:color="auto"/>
        <w:bottom w:val="none" w:sz="0" w:space="0" w:color="auto"/>
        <w:right w:val="none" w:sz="0" w:space="0" w:color="auto"/>
      </w:divBdr>
      <w:divsChild>
        <w:div w:id="344677973">
          <w:marLeft w:val="850"/>
          <w:marRight w:val="0"/>
          <w:marTop w:val="0"/>
          <w:marBottom w:val="0"/>
          <w:divBdr>
            <w:top w:val="none" w:sz="0" w:space="0" w:color="auto"/>
            <w:left w:val="none" w:sz="0" w:space="0" w:color="auto"/>
            <w:bottom w:val="none" w:sz="0" w:space="0" w:color="auto"/>
            <w:right w:val="none" w:sz="0" w:space="0" w:color="auto"/>
          </w:divBdr>
        </w:div>
        <w:div w:id="344677987">
          <w:marLeft w:val="850"/>
          <w:marRight w:val="0"/>
          <w:marTop w:val="0"/>
          <w:marBottom w:val="0"/>
          <w:divBdr>
            <w:top w:val="none" w:sz="0" w:space="0" w:color="auto"/>
            <w:left w:val="none" w:sz="0" w:space="0" w:color="auto"/>
            <w:bottom w:val="none" w:sz="0" w:space="0" w:color="auto"/>
            <w:right w:val="none" w:sz="0" w:space="0" w:color="auto"/>
          </w:divBdr>
        </w:div>
        <w:div w:id="344677989">
          <w:marLeft w:val="850"/>
          <w:marRight w:val="0"/>
          <w:marTop w:val="0"/>
          <w:marBottom w:val="0"/>
          <w:divBdr>
            <w:top w:val="none" w:sz="0" w:space="0" w:color="auto"/>
            <w:left w:val="none" w:sz="0" w:space="0" w:color="auto"/>
            <w:bottom w:val="none" w:sz="0" w:space="0" w:color="auto"/>
            <w:right w:val="none" w:sz="0" w:space="0" w:color="auto"/>
          </w:divBdr>
        </w:div>
        <w:div w:id="344677990">
          <w:marLeft w:val="850"/>
          <w:marRight w:val="0"/>
          <w:marTop w:val="0"/>
          <w:marBottom w:val="0"/>
          <w:divBdr>
            <w:top w:val="none" w:sz="0" w:space="0" w:color="auto"/>
            <w:left w:val="none" w:sz="0" w:space="0" w:color="auto"/>
            <w:bottom w:val="none" w:sz="0" w:space="0" w:color="auto"/>
            <w:right w:val="none" w:sz="0" w:space="0" w:color="auto"/>
          </w:divBdr>
        </w:div>
        <w:div w:id="344678014">
          <w:marLeft w:val="850"/>
          <w:marRight w:val="0"/>
          <w:marTop w:val="0"/>
          <w:marBottom w:val="0"/>
          <w:divBdr>
            <w:top w:val="none" w:sz="0" w:space="0" w:color="auto"/>
            <w:left w:val="none" w:sz="0" w:space="0" w:color="auto"/>
            <w:bottom w:val="none" w:sz="0" w:space="0" w:color="auto"/>
            <w:right w:val="none" w:sz="0" w:space="0" w:color="auto"/>
          </w:divBdr>
        </w:div>
        <w:div w:id="344678019">
          <w:marLeft w:val="850"/>
          <w:marRight w:val="0"/>
          <w:marTop w:val="0"/>
          <w:marBottom w:val="0"/>
          <w:divBdr>
            <w:top w:val="none" w:sz="0" w:space="0" w:color="auto"/>
            <w:left w:val="none" w:sz="0" w:space="0" w:color="auto"/>
            <w:bottom w:val="none" w:sz="0" w:space="0" w:color="auto"/>
            <w:right w:val="none" w:sz="0" w:space="0" w:color="auto"/>
          </w:divBdr>
        </w:div>
        <w:div w:id="344678035">
          <w:marLeft w:val="850"/>
          <w:marRight w:val="0"/>
          <w:marTop w:val="0"/>
          <w:marBottom w:val="0"/>
          <w:divBdr>
            <w:top w:val="none" w:sz="0" w:space="0" w:color="auto"/>
            <w:left w:val="none" w:sz="0" w:space="0" w:color="auto"/>
            <w:bottom w:val="none" w:sz="0" w:space="0" w:color="auto"/>
            <w:right w:val="none" w:sz="0" w:space="0" w:color="auto"/>
          </w:divBdr>
        </w:div>
        <w:div w:id="344678038">
          <w:marLeft w:val="850"/>
          <w:marRight w:val="0"/>
          <w:marTop w:val="0"/>
          <w:marBottom w:val="0"/>
          <w:divBdr>
            <w:top w:val="none" w:sz="0" w:space="0" w:color="auto"/>
            <w:left w:val="none" w:sz="0" w:space="0" w:color="auto"/>
            <w:bottom w:val="none" w:sz="0" w:space="0" w:color="auto"/>
            <w:right w:val="none" w:sz="0" w:space="0" w:color="auto"/>
          </w:divBdr>
        </w:div>
        <w:div w:id="344678041">
          <w:marLeft w:val="850"/>
          <w:marRight w:val="0"/>
          <w:marTop w:val="0"/>
          <w:marBottom w:val="0"/>
          <w:divBdr>
            <w:top w:val="none" w:sz="0" w:space="0" w:color="auto"/>
            <w:left w:val="none" w:sz="0" w:space="0" w:color="auto"/>
            <w:bottom w:val="none" w:sz="0" w:space="0" w:color="auto"/>
            <w:right w:val="none" w:sz="0" w:space="0" w:color="auto"/>
          </w:divBdr>
        </w:div>
        <w:div w:id="344678043">
          <w:marLeft w:val="850"/>
          <w:marRight w:val="0"/>
          <w:marTop w:val="0"/>
          <w:marBottom w:val="0"/>
          <w:divBdr>
            <w:top w:val="none" w:sz="0" w:space="0" w:color="auto"/>
            <w:left w:val="none" w:sz="0" w:space="0" w:color="auto"/>
            <w:bottom w:val="none" w:sz="0" w:space="0" w:color="auto"/>
            <w:right w:val="none" w:sz="0" w:space="0" w:color="auto"/>
          </w:divBdr>
        </w:div>
        <w:div w:id="344678050">
          <w:marLeft w:val="850"/>
          <w:marRight w:val="0"/>
          <w:marTop w:val="0"/>
          <w:marBottom w:val="0"/>
          <w:divBdr>
            <w:top w:val="none" w:sz="0" w:space="0" w:color="auto"/>
            <w:left w:val="none" w:sz="0" w:space="0" w:color="auto"/>
            <w:bottom w:val="none" w:sz="0" w:space="0" w:color="auto"/>
            <w:right w:val="none" w:sz="0" w:space="0" w:color="auto"/>
          </w:divBdr>
        </w:div>
        <w:div w:id="344678061">
          <w:marLeft w:val="850"/>
          <w:marRight w:val="0"/>
          <w:marTop w:val="0"/>
          <w:marBottom w:val="0"/>
          <w:divBdr>
            <w:top w:val="none" w:sz="0" w:space="0" w:color="auto"/>
            <w:left w:val="none" w:sz="0" w:space="0" w:color="auto"/>
            <w:bottom w:val="none" w:sz="0" w:space="0" w:color="auto"/>
            <w:right w:val="none" w:sz="0" w:space="0" w:color="auto"/>
          </w:divBdr>
        </w:div>
        <w:div w:id="344678063">
          <w:marLeft w:val="850"/>
          <w:marRight w:val="0"/>
          <w:marTop w:val="0"/>
          <w:marBottom w:val="0"/>
          <w:divBdr>
            <w:top w:val="none" w:sz="0" w:space="0" w:color="auto"/>
            <w:left w:val="none" w:sz="0" w:space="0" w:color="auto"/>
            <w:bottom w:val="none" w:sz="0" w:space="0" w:color="auto"/>
            <w:right w:val="none" w:sz="0" w:space="0" w:color="auto"/>
          </w:divBdr>
        </w:div>
      </w:divsChild>
    </w:div>
    <w:div w:id="344677991">
      <w:marLeft w:val="0"/>
      <w:marRight w:val="0"/>
      <w:marTop w:val="0"/>
      <w:marBottom w:val="0"/>
      <w:divBdr>
        <w:top w:val="none" w:sz="0" w:space="0" w:color="auto"/>
        <w:left w:val="none" w:sz="0" w:space="0" w:color="auto"/>
        <w:bottom w:val="none" w:sz="0" w:space="0" w:color="auto"/>
        <w:right w:val="none" w:sz="0" w:space="0" w:color="auto"/>
      </w:divBdr>
    </w:div>
    <w:div w:id="344677993">
      <w:marLeft w:val="0"/>
      <w:marRight w:val="0"/>
      <w:marTop w:val="0"/>
      <w:marBottom w:val="0"/>
      <w:divBdr>
        <w:top w:val="none" w:sz="0" w:space="0" w:color="auto"/>
        <w:left w:val="none" w:sz="0" w:space="0" w:color="auto"/>
        <w:bottom w:val="none" w:sz="0" w:space="0" w:color="auto"/>
        <w:right w:val="none" w:sz="0" w:space="0" w:color="auto"/>
      </w:divBdr>
    </w:div>
    <w:div w:id="344677997">
      <w:marLeft w:val="0"/>
      <w:marRight w:val="0"/>
      <w:marTop w:val="0"/>
      <w:marBottom w:val="0"/>
      <w:divBdr>
        <w:top w:val="none" w:sz="0" w:space="0" w:color="auto"/>
        <w:left w:val="none" w:sz="0" w:space="0" w:color="auto"/>
        <w:bottom w:val="none" w:sz="0" w:space="0" w:color="auto"/>
        <w:right w:val="none" w:sz="0" w:space="0" w:color="auto"/>
      </w:divBdr>
    </w:div>
    <w:div w:id="344678007">
      <w:marLeft w:val="0"/>
      <w:marRight w:val="0"/>
      <w:marTop w:val="0"/>
      <w:marBottom w:val="0"/>
      <w:divBdr>
        <w:top w:val="none" w:sz="0" w:space="0" w:color="auto"/>
        <w:left w:val="none" w:sz="0" w:space="0" w:color="auto"/>
        <w:bottom w:val="none" w:sz="0" w:space="0" w:color="auto"/>
        <w:right w:val="none" w:sz="0" w:space="0" w:color="auto"/>
      </w:divBdr>
      <w:divsChild>
        <w:div w:id="344677956">
          <w:marLeft w:val="418"/>
          <w:marRight w:val="0"/>
          <w:marTop w:val="0"/>
          <w:marBottom w:val="0"/>
          <w:divBdr>
            <w:top w:val="none" w:sz="0" w:space="0" w:color="auto"/>
            <w:left w:val="none" w:sz="0" w:space="0" w:color="auto"/>
            <w:bottom w:val="none" w:sz="0" w:space="0" w:color="auto"/>
            <w:right w:val="none" w:sz="0" w:space="0" w:color="auto"/>
          </w:divBdr>
        </w:div>
        <w:div w:id="344677958">
          <w:marLeft w:val="418"/>
          <w:marRight w:val="0"/>
          <w:marTop w:val="0"/>
          <w:marBottom w:val="0"/>
          <w:divBdr>
            <w:top w:val="none" w:sz="0" w:space="0" w:color="auto"/>
            <w:left w:val="none" w:sz="0" w:space="0" w:color="auto"/>
            <w:bottom w:val="none" w:sz="0" w:space="0" w:color="auto"/>
            <w:right w:val="none" w:sz="0" w:space="0" w:color="auto"/>
          </w:divBdr>
        </w:div>
        <w:div w:id="344677965">
          <w:marLeft w:val="418"/>
          <w:marRight w:val="0"/>
          <w:marTop w:val="0"/>
          <w:marBottom w:val="0"/>
          <w:divBdr>
            <w:top w:val="none" w:sz="0" w:space="0" w:color="auto"/>
            <w:left w:val="none" w:sz="0" w:space="0" w:color="auto"/>
            <w:bottom w:val="none" w:sz="0" w:space="0" w:color="auto"/>
            <w:right w:val="none" w:sz="0" w:space="0" w:color="auto"/>
          </w:divBdr>
        </w:div>
        <w:div w:id="344677998">
          <w:marLeft w:val="418"/>
          <w:marRight w:val="0"/>
          <w:marTop w:val="0"/>
          <w:marBottom w:val="0"/>
          <w:divBdr>
            <w:top w:val="none" w:sz="0" w:space="0" w:color="auto"/>
            <w:left w:val="none" w:sz="0" w:space="0" w:color="auto"/>
            <w:bottom w:val="none" w:sz="0" w:space="0" w:color="auto"/>
            <w:right w:val="none" w:sz="0" w:space="0" w:color="auto"/>
          </w:divBdr>
        </w:div>
        <w:div w:id="344677999">
          <w:marLeft w:val="418"/>
          <w:marRight w:val="0"/>
          <w:marTop w:val="0"/>
          <w:marBottom w:val="0"/>
          <w:divBdr>
            <w:top w:val="none" w:sz="0" w:space="0" w:color="auto"/>
            <w:left w:val="none" w:sz="0" w:space="0" w:color="auto"/>
            <w:bottom w:val="none" w:sz="0" w:space="0" w:color="auto"/>
            <w:right w:val="none" w:sz="0" w:space="0" w:color="auto"/>
          </w:divBdr>
        </w:div>
        <w:div w:id="344678011">
          <w:marLeft w:val="418"/>
          <w:marRight w:val="0"/>
          <w:marTop w:val="0"/>
          <w:marBottom w:val="0"/>
          <w:divBdr>
            <w:top w:val="none" w:sz="0" w:space="0" w:color="auto"/>
            <w:left w:val="none" w:sz="0" w:space="0" w:color="auto"/>
            <w:bottom w:val="none" w:sz="0" w:space="0" w:color="auto"/>
            <w:right w:val="none" w:sz="0" w:space="0" w:color="auto"/>
          </w:divBdr>
        </w:div>
      </w:divsChild>
    </w:div>
    <w:div w:id="344678010">
      <w:marLeft w:val="0"/>
      <w:marRight w:val="0"/>
      <w:marTop w:val="0"/>
      <w:marBottom w:val="0"/>
      <w:divBdr>
        <w:top w:val="none" w:sz="0" w:space="0" w:color="auto"/>
        <w:left w:val="none" w:sz="0" w:space="0" w:color="auto"/>
        <w:bottom w:val="none" w:sz="0" w:space="0" w:color="auto"/>
        <w:right w:val="none" w:sz="0" w:space="0" w:color="auto"/>
      </w:divBdr>
    </w:div>
    <w:div w:id="344678012">
      <w:marLeft w:val="0"/>
      <w:marRight w:val="0"/>
      <w:marTop w:val="0"/>
      <w:marBottom w:val="0"/>
      <w:divBdr>
        <w:top w:val="none" w:sz="0" w:space="0" w:color="auto"/>
        <w:left w:val="none" w:sz="0" w:space="0" w:color="auto"/>
        <w:bottom w:val="none" w:sz="0" w:space="0" w:color="auto"/>
        <w:right w:val="none" w:sz="0" w:space="0" w:color="auto"/>
      </w:divBdr>
    </w:div>
    <w:div w:id="344678022">
      <w:marLeft w:val="0"/>
      <w:marRight w:val="0"/>
      <w:marTop w:val="0"/>
      <w:marBottom w:val="0"/>
      <w:divBdr>
        <w:top w:val="none" w:sz="0" w:space="0" w:color="auto"/>
        <w:left w:val="none" w:sz="0" w:space="0" w:color="auto"/>
        <w:bottom w:val="none" w:sz="0" w:space="0" w:color="auto"/>
        <w:right w:val="none" w:sz="0" w:space="0" w:color="auto"/>
      </w:divBdr>
    </w:div>
    <w:div w:id="344678032">
      <w:marLeft w:val="0"/>
      <w:marRight w:val="0"/>
      <w:marTop w:val="0"/>
      <w:marBottom w:val="0"/>
      <w:divBdr>
        <w:top w:val="none" w:sz="0" w:space="0" w:color="auto"/>
        <w:left w:val="none" w:sz="0" w:space="0" w:color="auto"/>
        <w:bottom w:val="none" w:sz="0" w:space="0" w:color="auto"/>
        <w:right w:val="none" w:sz="0" w:space="0" w:color="auto"/>
      </w:divBdr>
      <w:divsChild>
        <w:div w:id="344677954">
          <w:marLeft w:val="446"/>
          <w:marRight w:val="0"/>
          <w:marTop w:val="80"/>
          <w:marBottom w:val="80"/>
          <w:divBdr>
            <w:top w:val="none" w:sz="0" w:space="0" w:color="auto"/>
            <w:left w:val="none" w:sz="0" w:space="0" w:color="auto"/>
            <w:bottom w:val="none" w:sz="0" w:space="0" w:color="auto"/>
            <w:right w:val="none" w:sz="0" w:space="0" w:color="auto"/>
          </w:divBdr>
        </w:div>
        <w:div w:id="344677961">
          <w:marLeft w:val="446"/>
          <w:marRight w:val="0"/>
          <w:marTop w:val="80"/>
          <w:marBottom w:val="80"/>
          <w:divBdr>
            <w:top w:val="none" w:sz="0" w:space="0" w:color="auto"/>
            <w:left w:val="none" w:sz="0" w:space="0" w:color="auto"/>
            <w:bottom w:val="none" w:sz="0" w:space="0" w:color="auto"/>
            <w:right w:val="none" w:sz="0" w:space="0" w:color="auto"/>
          </w:divBdr>
        </w:div>
        <w:div w:id="344677974">
          <w:marLeft w:val="446"/>
          <w:marRight w:val="0"/>
          <w:marTop w:val="80"/>
          <w:marBottom w:val="80"/>
          <w:divBdr>
            <w:top w:val="none" w:sz="0" w:space="0" w:color="auto"/>
            <w:left w:val="none" w:sz="0" w:space="0" w:color="auto"/>
            <w:bottom w:val="none" w:sz="0" w:space="0" w:color="auto"/>
            <w:right w:val="none" w:sz="0" w:space="0" w:color="auto"/>
          </w:divBdr>
        </w:div>
        <w:div w:id="344677979">
          <w:marLeft w:val="446"/>
          <w:marRight w:val="0"/>
          <w:marTop w:val="80"/>
          <w:marBottom w:val="80"/>
          <w:divBdr>
            <w:top w:val="none" w:sz="0" w:space="0" w:color="auto"/>
            <w:left w:val="none" w:sz="0" w:space="0" w:color="auto"/>
            <w:bottom w:val="none" w:sz="0" w:space="0" w:color="auto"/>
            <w:right w:val="none" w:sz="0" w:space="0" w:color="auto"/>
          </w:divBdr>
        </w:div>
        <w:div w:id="344677984">
          <w:marLeft w:val="1166"/>
          <w:marRight w:val="0"/>
          <w:marTop w:val="40"/>
          <w:marBottom w:val="40"/>
          <w:divBdr>
            <w:top w:val="none" w:sz="0" w:space="0" w:color="auto"/>
            <w:left w:val="none" w:sz="0" w:space="0" w:color="auto"/>
            <w:bottom w:val="none" w:sz="0" w:space="0" w:color="auto"/>
            <w:right w:val="none" w:sz="0" w:space="0" w:color="auto"/>
          </w:divBdr>
        </w:div>
        <w:div w:id="344677995">
          <w:marLeft w:val="446"/>
          <w:marRight w:val="0"/>
          <w:marTop w:val="80"/>
          <w:marBottom w:val="80"/>
          <w:divBdr>
            <w:top w:val="none" w:sz="0" w:space="0" w:color="auto"/>
            <w:left w:val="none" w:sz="0" w:space="0" w:color="auto"/>
            <w:bottom w:val="none" w:sz="0" w:space="0" w:color="auto"/>
            <w:right w:val="none" w:sz="0" w:space="0" w:color="auto"/>
          </w:divBdr>
        </w:div>
        <w:div w:id="344678017">
          <w:marLeft w:val="446"/>
          <w:marRight w:val="0"/>
          <w:marTop w:val="80"/>
          <w:marBottom w:val="80"/>
          <w:divBdr>
            <w:top w:val="none" w:sz="0" w:space="0" w:color="auto"/>
            <w:left w:val="none" w:sz="0" w:space="0" w:color="auto"/>
            <w:bottom w:val="none" w:sz="0" w:space="0" w:color="auto"/>
            <w:right w:val="none" w:sz="0" w:space="0" w:color="auto"/>
          </w:divBdr>
        </w:div>
        <w:div w:id="344678020">
          <w:marLeft w:val="446"/>
          <w:marRight w:val="0"/>
          <w:marTop w:val="80"/>
          <w:marBottom w:val="80"/>
          <w:divBdr>
            <w:top w:val="none" w:sz="0" w:space="0" w:color="auto"/>
            <w:left w:val="none" w:sz="0" w:space="0" w:color="auto"/>
            <w:bottom w:val="none" w:sz="0" w:space="0" w:color="auto"/>
            <w:right w:val="none" w:sz="0" w:space="0" w:color="auto"/>
          </w:divBdr>
        </w:div>
        <w:div w:id="344678034">
          <w:marLeft w:val="1166"/>
          <w:marRight w:val="0"/>
          <w:marTop w:val="40"/>
          <w:marBottom w:val="40"/>
          <w:divBdr>
            <w:top w:val="none" w:sz="0" w:space="0" w:color="auto"/>
            <w:left w:val="none" w:sz="0" w:space="0" w:color="auto"/>
            <w:bottom w:val="none" w:sz="0" w:space="0" w:color="auto"/>
            <w:right w:val="none" w:sz="0" w:space="0" w:color="auto"/>
          </w:divBdr>
        </w:div>
        <w:div w:id="344678037">
          <w:marLeft w:val="446"/>
          <w:marRight w:val="0"/>
          <w:marTop w:val="80"/>
          <w:marBottom w:val="80"/>
          <w:divBdr>
            <w:top w:val="none" w:sz="0" w:space="0" w:color="auto"/>
            <w:left w:val="none" w:sz="0" w:space="0" w:color="auto"/>
            <w:bottom w:val="none" w:sz="0" w:space="0" w:color="auto"/>
            <w:right w:val="none" w:sz="0" w:space="0" w:color="auto"/>
          </w:divBdr>
        </w:div>
        <w:div w:id="344678054">
          <w:marLeft w:val="1166"/>
          <w:marRight w:val="0"/>
          <w:marTop w:val="40"/>
          <w:marBottom w:val="40"/>
          <w:divBdr>
            <w:top w:val="none" w:sz="0" w:space="0" w:color="auto"/>
            <w:left w:val="none" w:sz="0" w:space="0" w:color="auto"/>
            <w:bottom w:val="none" w:sz="0" w:space="0" w:color="auto"/>
            <w:right w:val="none" w:sz="0" w:space="0" w:color="auto"/>
          </w:divBdr>
        </w:div>
      </w:divsChild>
    </w:div>
    <w:div w:id="344678039">
      <w:marLeft w:val="0"/>
      <w:marRight w:val="0"/>
      <w:marTop w:val="0"/>
      <w:marBottom w:val="0"/>
      <w:divBdr>
        <w:top w:val="none" w:sz="0" w:space="0" w:color="auto"/>
        <w:left w:val="none" w:sz="0" w:space="0" w:color="auto"/>
        <w:bottom w:val="none" w:sz="0" w:space="0" w:color="auto"/>
        <w:right w:val="none" w:sz="0" w:space="0" w:color="auto"/>
      </w:divBdr>
      <w:divsChild>
        <w:div w:id="344677959">
          <w:marLeft w:val="446"/>
          <w:marRight w:val="0"/>
          <w:marTop w:val="80"/>
          <w:marBottom w:val="80"/>
          <w:divBdr>
            <w:top w:val="none" w:sz="0" w:space="0" w:color="auto"/>
            <w:left w:val="none" w:sz="0" w:space="0" w:color="auto"/>
            <w:bottom w:val="none" w:sz="0" w:space="0" w:color="auto"/>
            <w:right w:val="none" w:sz="0" w:space="0" w:color="auto"/>
          </w:divBdr>
        </w:div>
        <w:div w:id="344677981">
          <w:marLeft w:val="446"/>
          <w:marRight w:val="0"/>
          <w:marTop w:val="80"/>
          <w:marBottom w:val="80"/>
          <w:divBdr>
            <w:top w:val="none" w:sz="0" w:space="0" w:color="auto"/>
            <w:left w:val="none" w:sz="0" w:space="0" w:color="auto"/>
            <w:bottom w:val="none" w:sz="0" w:space="0" w:color="auto"/>
            <w:right w:val="none" w:sz="0" w:space="0" w:color="auto"/>
          </w:divBdr>
        </w:div>
        <w:div w:id="344677985">
          <w:marLeft w:val="1166"/>
          <w:marRight w:val="0"/>
          <w:marTop w:val="40"/>
          <w:marBottom w:val="40"/>
          <w:divBdr>
            <w:top w:val="none" w:sz="0" w:space="0" w:color="auto"/>
            <w:left w:val="none" w:sz="0" w:space="0" w:color="auto"/>
            <w:bottom w:val="none" w:sz="0" w:space="0" w:color="auto"/>
            <w:right w:val="none" w:sz="0" w:space="0" w:color="auto"/>
          </w:divBdr>
        </w:div>
        <w:div w:id="344677994">
          <w:marLeft w:val="1166"/>
          <w:marRight w:val="0"/>
          <w:marTop w:val="40"/>
          <w:marBottom w:val="40"/>
          <w:divBdr>
            <w:top w:val="none" w:sz="0" w:space="0" w:color="auto"/>
            <w:left w:val="none" w:sz="0" w:space="0" w:color="auto"/>
            <w:bottom w:val="none" w:sz="0" w:space="0" w:color="auto"/>
            <w:right w:val="none" w:sz="0" w:space="0" w:color="auto"/>
          </w:divBdr>
        </w:div>
        <w:div w:id="344678001">
          <w:marLeft w:val="446"/>
          <w:marRight w:val="0"/>
          <w:marTop w:val="80"/>
          <w:marBottom w:val="80"/>
          <w:divBdr>
            <w:top w:val="none" w:sz="0" w:space="0" w:color="auto"/>
            <w:left w:val="none" w:sz="0" w:space="0" w:color="auto"/>
            <w:bottom w:val="none" w:sz="0" w:space="0" w:color="auto"/>
            <w:right w:val="none" w:sz="0" w:space="0" w:color="auto"/>
          </w:divBdr>
        </w:div>
        <w:div w:id="344678009">
          <w:marLeft w:val="446"/>
          <w:marRight w:val="0"/>
          <w:marTop w:val="80"/>
          <w:marBottom w:val="80"/>
          <w:divBdr>
            <w:top w:val="none" w:sz="0" w:space="0" w:color="auto"/>
            <w:left w:val="none" w:sz="0" w:space="0" w:color="auto"/>
            <w:bottom w:val="none" w:sz="0" w:space="0" w:color="auto"/>
            <w:right w:val="none" w:sz="0" w:space="0" w:color="auto"/>
          </w:divBdr>
        </w:div>
        <w:div w:id="344678013">
          <w:marLeft w:val="446"/>
          <w:marRight w:val="0"/>
          <w:marTop w:val="80"/>
          <w:marBottom w:val="80"/>
          <w:divBdr>
            <w:top w:val="none" w:sz="0" w:space="0" w:color="auto"/>
            <w:left w:val="none" w:sz="0" w:space="0" w:color="auto"/>
            <w:bottom w:val="none" w:sz="0" w:space="0" w:color="auto"/>
            <w:right w:val="none" w:sz="0" w:space="0" w:color="auto"/>
          </w:divBdr>
        </w:div>
        <w:div w:id="344678036">
          <w:marLeft w:val="446"/>
          <w:marRight w:val="0"/>
          <w:marTop w:val="80"/>
          <w:marBottom w:val="80"/>
          <w:divBdr>
            <w:top w:val="none" w:sz="0" w:space="0" w:color="auto"/>
            <w:left w:val="none" w:sz="0" w:space="0" w:color="auto"/>
            <w:bottom w:val="none" w:sz="0" w:space="0" w:color="auto"/>
            <w:right w:val="none" w:sz="0" w:space="0" w:color="auto"/>
          </w:divBdr>
        </w:div>
        <w:div w:id="344678046">
          <w:marLeft w:val="1166"/>
          <w:marRight w:val="0"/>
          <w:marTop w:val="40"/>
          <w:marBottom w:val="40"/>
          <w:divBdr>
            <w:top w:val="none" w:sz="0" w:space="0" w:color="auto"/>
            <w:left w:val="none" w:sz="0" w:space="0" w:color="auto"/>
            <w:bottom w:val="none" w:sz="0" w:space="0" w:color="auto"/>
            <w:right w:val="none" w:sz="0" w:space="0" w:color="auto"/>
          </w:divBdr>
        </w:div>
        <w:div w:id="344678049">
          <w:marLeft w:val="446"/>
          <w:marRight w:val="0"/>
          <w:marTop w:val="80"/>
          <w:marBottom w:val="80"/>
          <w:divBdr>
            <w:top w:val="none" w:sz="0" w:space="0" w:color="auto"/>
            <w:left w:val="none" w:sz="0" w:space="0" w:color="auto"/>
            <w:bottom w:val="none" w:sz="0" w:space="0" w:color="auto"/>
            <w:right w:val="none" w:sz="0" w:space="0" w:color="auto"/>
          </w:divBdr>
        </w:div>
        <w:div w:id="344678051">
          <w:marLeft w:val="446"/>
          <w:marRight w:val="0"/>
          <w:marTop w:val="80"/>
          <w:marBottom w:val="80"/>
          <w:divBdr>
            <w:top w:val="none" w:sz="0" w:space="0" w:color="auto"/>
            <w:left w:val="none" w:sz="0" w:space="0" w:color="auto"/>
            <w:bottom w:val="none" w:sz="0" w:space="0" w:color="auto"/>
            <w:right w:val="none" w:sz="0" w:space="0" w:color="auto"/>
          </w:divBdr>
        </w:div>
      </w:divsChild>
    </w:div>
    <w:div w:id="344678044">
      <w:marLeft w:val="0"/>
      <w:marRight w:val="0"/>
      <w:marTop w:val="0"/>
      <w:marBottom w:val="0"/>
      <w:divBdr>
        <w:top w:val="none" w:sz="0" w:space="0" w:color="auto"/>
        <w:left w:val="none" w:sz="0" w:space="0" w:color="auto"/>
        <w:bottom w:val="none" w:sz="0" w:space="0" w:color="auto"/>
        <w:right w:val="none" w:sz="0" w:space="0" w:color="auto"/>
      </w:divBdr>
    </w:div>
    <w:div w:id="344678047">
      <w:marLeft w:val="0"/>
      <w:marRight w:val="0"/>
      <w:marTop w:val="0"/>
      <w:marBottom w:val="0"/>
      <w:divBdr>
        <w:top w:val="none" w:sz="0" w:space="0" w:color="auto"/>
        <w:left w:val="none" w:sz="0" w:space="0" w:color="auto"/>
        <w:bottom w:val="none" w:sz="0" w:space="0" w:color="auto"/>
        <w:right w:val="none" w:sz="0" w:space="0" w:color="auto"/>
      </w:divBdr>
    </w:div>
    <w:div w:id="344678048">
      <w:marLeft w:val="0"/>
      <w:marRight w:val="0"/>
      <w:marTop w:val="0"/>
      <w:marBottom w:val="0"/>
      <w:divBdr>
        <w:top w:val="none" w:sz="0" w:space="0" w:color="auto"/>
        <w:left w:val="none" w:sz="0" w:space="0" w:color="auto"/>
        <w:bottom w:val="none" w:sz="0" w:space="0" w:color="auto"/>
        <w:right w:val="none" w:sz="0" w:space="0" w:color="auto"/>
      </w:divBdr>
      <w:divsChild>
        <w:div w:id="344678015">
          <w:marLeft w:val="1267"/>
          <w:marRight w:val="0"/>
          <w:marTop w:val="120"/>
          <w:marBottom w:val="120"/>
          <w:divBdr>
            <w:top w:val="none" w:sz="0" w:space="0" w:color="auto"/>
            <w:left w:val="none" w:sz="0" w:space="0" w:color="auto"/>
            <w:bottom w:val="none" w:sz="0" w:space="0" w:color="auto"/>
            <w:right w:val="none" w:sz="0" w:space="0" w:color="auto"/>
          </w:divBdr>
        </w:div>
        <w:div w:id="344678025">
          <w:marLeft w:val="1267"/>
          <w:marRight w:val="0"/>
          <w:marTop w:val="120"/>
          <w:marBottom w:val="120"/>
          <w:divBdr>
            <w:top w:val="none" w:sz="0" w:space="0" w:color="auto"/>
            <w:left w:val="none" w:sz="0" w:space="0" w:color="auto"/>
            <w:bottom w:val="none" w:sz="0" w:space="0" w:color="auto"/>
            <w:right w:val="none" w:sz="0" w:space="0" w:color="auto"/>
          </w:divBdr>
        </w:div>
      </w:divsChild>
    </w:div>
    <w:div w:id="344678053">
      <w:marLeft w:val="0"/>
      <w:marRight w:val="0"/>
      <w:marTop w:val="0"/>
      <w:marBottom w:val="0"/>
      <w:divBdr>
        <w:top w:val="none" w:sz="0" w:space="0" w:color="auto"/>
        <w:left w:val="none" w:sz="0" w:space="0" w:color="auto"/>
        <w:bottom w:val="none" w:sz="0" w:space="0" w:color="auto"/>
        <w:right w:val="none" w:sz="0" w:space="0" w:color="auto"/>
      </w:divBdr>
      <w:divsChild>
        <w:div w:id="344677970">
          <w:marLeft w:val="1267"/>
          <w:marRight w:val="0"/>
          <w:marTop w:val="120"/>
          <w:marBottom w:val="120"/>
          <w:divBdr>
            <w:top w:val="none" w:sz="0" w:space="0" w:color="auto"/>
            <w:left w:val="none" w:sz="0" w:space="0" w:color="auto"/>
            <w:bottom w:val="none" w:sz="0" w:space="0" w:color="auto"/>
            <w:right w:val="none" w:sz="0" w:space="0" w:color="auto"/>
          </w:divBdr>
        </w:div>
        <w:div w:id="344677982">
          <w:marLeft w:val="1267"/>
          <w:marRight w:val="0"/>
          <w:marTop w:val="120"/>
          <w:marBottom w:val="120"/>
          <w:divBdr>
            <w:top w:val="none" w:sz="0" w:space="0" w:color="auto"/>
            <w:left w:val="none" w:sz="0" w:space="0" w:color="auto"/>
            <w:bottom w:val="none" w:sz="0" w:space="0" w:color="auto"/>
            <w:right w:val="none" w:sz="0" w:space="0" w:color="auto"/>
          </w:divBdr>
        </w:div>
      </w:divsChild>
    </w:div>
    <w:div w:id="344678057">
      <w:marLeft w:val="0"/>
      <w:marRight w:val="0"/>
      <w:marTop w:val="0"/>
      <w:marBottom w:val="0"/>
      <w:divBdr>
        <w:top w:val="none" w:sz="0" w:space="0" w:color="auto"/>
        <w:left w:val="none" w:sz="0" w:space="0" w:color="auto"/>
        <w:bottom w:val="none" w:sz="0" w:space="0" w:color="auto"/>
        <w:right w:val="none" w:sz="0" w:space="0" w:color="auto"/>
      </w:divBdr>
      <w:divsChild>
        <w:div w:id="344677955">
          <w:marLeft w:val="547"/>
          <w:marRight w:val="0"/>
          <w:marTop w:val="60"/>
          <w:marBottom w:val="60"/>
          <w:divBdr>
            <w:top w:val="none" w:sz="0" w:space="0" w:color="auto"/>
            <w:left w:val="none" w:sz="0" w:space="0" w:color="auto"/>
            <w:bottom w:val="none" w:sz="0" w:space="0" w:color="auto"/>
            <w:right w:val="none" w:sz="0" w:space="0" w:color="auto"/>
          </w:divBdr>
        </w:div>
        <w:div w:id="344677963">
          <w:marLeft w:val="547"/>
          <w:marRight w:val="0"/>
          <w:marTop w:val="60"/>
          <w:marBottom w:val="60"/>
          <w:divBdr>
            <w:top w:val="none" w:sz="0" w:space="0" w:color="auto"/>
            <w:left w:val="none" w:sz="0" w:space="0" w:color="auto"/>
            <w:bottom w:val="none" w:sz="0" w:space="0" w:color="auto"/>
            <w:right w:val="none" w:sz="0" w:space="0" w:color="auto"/>
          </w:divBdr>
        </w:div>
        <w:div w:id="344677978">
          <w:marLeft w:val="547"/>
          <w:marRight w:val="0"/>
          <w:marTop w:val="60"/>
          <w:marBottom w:val="60"/>
          <w:divBdr>
            <w:top w:val="none" w:sz="0" w:space="0" w:color="auto"/>
            <w:left w:val="none" w:sz="0" w:space="0" w:color="auto"/>
            <w:bottom w:val="none" w:sz="0" w:space="0" w:color="auto"/>
            <w:right w:val="none" w:sz="0" w:space="0" w:color="auto"/>
          </w:divBdr>
        </w:div>
        <w:div w:id="344678000">
          <w:marLeft w:val="547"/>
          <w:marRight w:val="0"/>
          <w:marTop w:val="60"/>
          <w:marBottom w:val="60"/>
          <w:divBdr>
            <w:top w:val="none" w:sz="0" w:space="0" w:color="auto"/>
            <w:left w:val="none" w:sz="0" w:space="0" w:color="auto"/>
            <w:bottom w:val="none" w:sz="0" w:space="0" w:color="auto"/>
            <w:right w:val="none" w:sz="0" w:space="0" w:color="auto"/>
          </w:divBdr>
        </w:div>
        <w:div w:id="344678002">
          <w:marLeft w:val="547"/>
          <w:marRight w:val="0"/>
          <w:marTop w:val="60"/>
          <w:marBottom w:val="60"/>
          <w:divBdr>
            <w:top w:val="none" w:sz="0" w:space="0" w:color="auto"/>
            <w:left w:val="none" w:sz="0" w:space="0" w:color="auto"/>
            <w:bottom w:val="none" w:sz="0" w:space="0" w:color="auto"/>
            <w:right w:val="none" w:sz="0" w:space="0" w:color="auto"/>
          </w:divBdr>
        </w:div>
        <w:div w:id="344678027">
          <w:marLeft w:val="547"/>
          <w:marRight w:val="0"/>
          <w:marTop w:val="60"/>
          <w:marBottom w:val="60"/>
          <w:divBdr>
            <w:top w:val="none" w:sz="0" w:space="0" w:color="auto"/>
            <w:left w:val="none" w:sz="0" w:space="0" w:color="auto"/>
            <w:bottom w:val="none" w:sz="0" w:space="0" w:color="auto"/>
            <w:right w:val="none" w:sz="0" w:space="0" w:color="auto"/>
          </w:divBdr>
        </w:div>
        <w:div w:id="344678045">
          <w:marLeft w:val="547"/>
          <w:marRight w:val="0"/>
          <w:marTop w:val="60"/>
          <w:marBottom w:val="60"/>
          <w:divBdr>
            <w:top w:val="none" w:sz="0" w:space="0" w:color="auto"/>
            <w:left w:val="none" w:sz="0" w:space="0" w:color="auto"/>
            <w:bottom w:val="none" w:sz="0" w:space="0" w:color="auto"/>
            <w:right w:val="none" w:sz="0" w:space="0" w:color="auto"/>
          </w:divBdr>
        </w:div>
        <w:div w:id="344678052">
          <w:marLeft w:val="547"/>
          <w:marRight w:val="0"/>
          <w:marTop w:val="60"/>
          <w:marBottom w:val="60"/>
          <w:divBdr>
            <w:top w:val="none" w:sz="0" w:space="0" w:color="auto"/>
            <w:left w:val="none" w:sz="0" w:space="0" w:color="auto"/>
            <w:bottom w:val="none" w:sz="0" w:space="0" w:color="auto"/>
            <w:right w:val="none" w:sz="0" w:space="0" w:color="auto"/>
          </w:divBdr>
        </w:div>
        <w:div w:id="344678055">
          <w:marLeft w:val="547"/>
          <w:marRight w:val="0"/>
          <w:marTop w:val="60"/>
          <w:marBottom w:val="60"/>
          <w:divBdr>
            <w:top w:val="none" w:sz="0" w:space="0" w:color="auto"/>
            <w:left w:val="none" w:sz="0" w:space="0" w:color="auto"/>
            <w:bottom w:val="none" w:sz="0" w:space="0" w:color="auto"/>
            <w:right w:val="none" w:sz="0" w:space="0" w:color="auto"/>
          </w:divBdr>
        </w:div>
        <w:div w:id="344678058">
          <w:marLeft w:val="547"/>
          <w:marRight w:val="0"/>
          <w:marTop w:val="60"/>
          <w:marBottom w:val="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23</Pages>
  <Words>6736</Words>
  <Characters>-32766</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COMISIÓN DE INVESTIGACIÓN DEL INCIDENTE</dc:title>
  <dc:subject/>
  <dc:creator>AQUAGEO</dc:creator>
  <cp:keywords/>
  <dc:description/>
  <cp:lastModifiedBy>pse</cp:lastModifiedBy>
  <cp:revision>2</cp:revision>
  <cp:lastPrinted>2016-03-01T10:04:00Z</cp:lastPrinted>
  <dcterms:created xsi:type="dcterms:W3CDTF">2016-03-07T13:40:00Z</dcterms:created>
  <dcterms:modified xsi:type="dcterms:W3CDTF">2016-03-07T13:40:00Z</dcterms:modified>
</cp:coreProperties>
</file>